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1D" w:rsidRPr="00BA6D83" w:rsidRDefault="00B821E3" w:rsidP="001F1A8D">
      <w:pPr>
        <w:pStyle w:val="NoSpacing"/>
        <w:spacing w:line="276" w:lineRule="auto"/>
        <w:ind w:left="7920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BA6D83">
        <w:rPr>
          <w:rFonts w:ascii="Verdana" w:hAnsi="Verdana"/>
          <w:b/>
          <w:sz w:val="20"/>
          <w:szCs w:val="20"/>
        </w:rPr>
        <w:t>ПРОЕКТ!</w:t>
      </w:r>
      <w:r w:rsidR="008E3B0F" w:rsidRPr="00BA6D83">
        <w:rPr>
          <w:rFonts w:ascii="Verdana" w:hAnsi="Verdana"/>
          <w:b/>
          <w:sz w:val="20"/>
          <w:szCs w:val="20"/>
        </w:rPr>
        <w:t xml:space="preserve"> </w:t>
      </w:r>
    </w:p>
    <w:p w:rsidR="0081201D" w:rsidRPr="00BA6D83" w:rsidRDefault="0081201D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МИНИСТЕРСКИЯ СЪВЕТ</w:t>
      </w:r>
    </w:p>
    <w:p w:rsidR="0081201D" w:rsidRPr="00BA6D83" w:rsidRDefault="0081201D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НА РЕПУБЛИКА БЪЛГАРИЯ</w:t>
      </w:r>
    </w:p>
    <w:p w:rsidR="0081201D" w:rsidRPr="00BA6D83" w:rsidRDefault="0081201D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</w:p>
    <w:p w:rsidR="003202F1" w:rsidRPr="00BA6D83" w:rsidRDefault="003202F1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</w:p>
    <w:p w:rsidR="0081201D" w:rsidRPr="00BA6D83" w:rsidRDefault="0081201D" w:rsidP="00D25577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ДОКЛАД</w:t>
      </w:r>
    </w:p>
    <w:p w:rsidR="0081201D" w:rsidRPr="00BA6D83" w:rsidRDefault="0081201D" w:rsidP="00D25577">
      <w:pPr>
        <w:pStyle w:val="NoSpacing"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 xml:space="preserve">от </w:t>
      </w:r>
      <w:r w:rsidR="00D13876" w:rsidRPr="00BA6D83">
        <w:rPr>
          <w:rFonts w:ascii="Verdana" w:hAnsi="Verdana"/>
          <w:b/>
          <w:sz w:val="20"/>
          <w:szCs w:val="20"/>
        </w:rPr>
        <w:t>ТРАЙЧО ТРАЙКОВ</w:t>
      </w:r>
      <w:r w:rsidRPr="00BA6D83">
        <w:rPr>
          <w:rFonts w:ascii="Verdana" w:hAnsi="Verdana"/>
          <w:b/>
          <w:sz w:val="20"/>
          <w:szCs w:val="20"/>
        </w:rPr>
        <w:t xml:space="preserve"> - </w:t>
      </w:r>
      <w:r w:rsidR="00F9385D" w:rsidRPr="00BA6D83">
        <w:rPr>
          <w:rFonts w:ascii="Verdana" w:hAnsi="Verdana"/>
          <w:b/>
          <w:sz w:val="20"/>
          <w:szCs w:val="20"/>
        </w:rPr>
        <w:t>МИНИСТЪР НА ЕНЕРГЕТИКАТА</w:t>
      </w:r>
    </w:p>
    <w:p w:rsidR="00087231" w:rsidRPr="00BA6D83" w:rsidRDefault="00087231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</w:p>
    <w:p w:rsidR="004742B6" w:rsidRPr="00BA6D83" w:rsidRDefault="0081201D" w:rsidP="00D25577">
      <w:pPr>
        <w:pStyle w:val="NoSpacing"/>
        <w:spacing w:line="276" w:lineRule="auto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ОТНОСНО</w:t>
      </w:r>
      <w:r w:rsidRPr="00BA6D83">
        <w:rPr>
          <w:rFonts w:ascii="Verdana" w:hAnsi="Verdana"/>
          <w:sz w:val="20"/>
          <w:szCs w:val="20"/>
        </w:rPr>
        <w:t xml:space="preserve">: Проект на </w:t>
      </w:r>
      <w:r w:rsidR="001629B8" w:rsidRPr="00BA6D83">
        <w:rPr>
          <w:rFonts w:ascii="Verdana" w:hAnsi="Verdana"/>
          <w:sz w:val="20"/>
          <w:szCs w:val="20"/>
        </w:rPr>
        <w:t xml:space="preserve">Постановление </w:t>
      </w:r>
      <w:r w:rsidRPr="00BA6D83">
        <w:rPr>
          <w:rFonts w:ascii="Verdana" w:hAnsi="Verdana"/>
          <w:sz w:val="20"/>
          <w:szCs w:val="20"/>
        </w:rPr>
        <w:t>за</w:t>
      </w:r>
      <w:r w:rsidR="001629B8" w:rsidRPr="00BA6D83">
        <w:rPr>
          <w:rFonts w:ascii="Verdana" w:hAnsi="Verdana"/>
          <w:sz w:val="20"/>
          <w:szCs w:val="20"/>
        </w:rPr>
        <w:t xml:space="preserve"> </w:t>
      </w:r>
      <w:r w:rsidR="00E344D1" w:rsidRPr="00BA6D83">
        <w:rPr>
          <w:rFonts w:ascii="Verdana" w:hAnsi="Verdana"/>
          <w:sz w:val="20"/>
          <w:szCs w:val="20"/>
        </w:rPr>
        <w:t xml:space="preserve">изменение и допълнение на Постановление № 237 на Министерския съвет от 2025 г. за </w:t>
      </w:r>
      <w:r w:rsidR="001629B8" w:rsidRPr="00BA6D83">
        <w:rPr>
          <w:rFonts w:ascii="Verdana" w:hAnsi="Verdana"/>
          <w:sz w:val="20"/>
          <w:szCs w:val="20"/>
        </w:rPr>
        <w:t>определяне на условията и ред</w:t>
      </w:r>
      <w:r w:rsidR="00CC1968" w:rsidRPr="00BA6D83">
        <w:rPr>
          <w:rFonts w:ascii="Verdana" w:hAnsi="Verdana"/>
          <w:sz w:val="20"/>
          <w:szCs w:val="20"/>
        </w:rPr>
        <w:t>а</w:t>
      </w:r>
      <w:r w:rsidR="001629B8" w:rsidRPr="00BA6D83">
        <w:rPr>
          <w:rFonts w:ascii="Verdana" w:hAnsi="Verdana"/>
          <w:sz w:val="20"/>
          <w:szCs w:val="20"/>
        </w:rPr>
        <w:t xml:space="preserve">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</w:r>
      <w:r w:rsidR="00D13876" w:rsidRPr="00BA6D83">
        <w:rPr>
          <w:rFonts w:ascii="Verdana" w:hAnsi="Verdana"/>
          <w:sz w:val="20"/>
          <w:szCs w:val="20"/>
        </w:rPr>
        <w:t xml:space="preserve"> </w:t>
      </w:r>
    </w:p>
    <w:p w:rsidR="00087231" w:rsidRPr="00BA6D83" w:rsidRDefault="00087231" w:rsidP="00D25577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:rsidR="00D13876" w:rsidRPr="00BA6D83" w:rsidRDefault="00D13876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ГОСПОДИН МИНИСТЪР-ПРЕДСЕДАТЕЛ,</w:t>
      </w:r>
    </w:p>
    <w:p w:rsidR="00D13876" w:rsidRPr="00BA6D83" w:rsidRDefault="00D13876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ГОСПОЖИ И ГОСПОДА ЗАМЕСТНИК МИНИСТЪР-ПРЕДСЕДАТЕЛИ,</w:t>
      </w:r>
    </w:p>
    <w:p w:rsidR="0081201D" w:rsidRPr="00BA6D83" w:rsidRDefault="00D13876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ГОСПОЖИ И ГОСПОДА МИНИСТРИ,</w:t>
      </w:r>
    </w:p>
    <w:p w:rsidR="0081201D" w:rsidRPr="00BA6D83" w:rsidRDefault="0081201D" w:rsidP="00D25577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:rsidR="00FA7394" w:rsidRPr="00BA6D83" w:rsidRDefault="0081201D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В съответствие с чл. 31, ал. 2 от Устройствения правилник на Министерския съвет и на неговата администрация</w:t>
      </w:r>
      <w:r w:rsidR="00345FDB" w:rsidRPr="00BA6D83">
        <w:rPr>
          <w:rFonts w:ascii="Verdana" w:hAnsi="Verdana"/>
          <w:sz w:val="20"/>
          <w:szCs w:val="20"/>
        </w:rPr>
        <w:t>,</w:t>
      </w:r>
      <w:r w:rsidRPr="00BA6D83">
        <w:rPr>
          <w:rFonts w:ascii="Verdana" w:hAnsi="Verdana"/>
          <w:sz w:val="20"/>
          <w:szCs w:val="20"/>
        </w:rPr>
        <w:t xml:space="preserve"> </w:t>
      </w:r>
      <w:r w:rsidR="00FA7394" w:rsidRPr="00BA6D83">
        <w:rPr>
          <w:rFonts w:ascii="Verdana" w:hAnsi="Verdana"/>
          <w:sz w:val="20"/>
          <w:szCs w:val="20"/>
        </w:rPr>
        <w:t>отчитайки водената политика през последните няколко години</w:t>
      </w:r>
      <w:r w:rsidR="009A3E31" w:rsidRPr="00BA6D83">
        <w:rPr>
          <w:rFonts w:ascii="Verdana" w:hAnsi="Verdana"/>
          <w:sz w:val="20"/>
          <w:szCs w:val="20"/>
        </w:rPr>
        <w:t>,</w:t>
      </w:r>
      <w:r w:rsidR="00FA7394" w:rsidRPr="00BA6D83">
        <w:rPr>
          <w:rFonts w:ascii="Verdana" w:hAnsi="Verdana"/>
          <w:sz w:val="20"/>
          <w:szCs w:val="20"/>
        </w:rPr>
        <w:t xml:space="preserve"> в унисон с последните приети </w:t>
      </w:r>
      <w:r w:rsidR="00315907" w:rsidRPr="00BA6D83">
        <w:rPr>
          <w:rFonts w:ascii="Verdana" w:hAnsi="Verdana"/>
          <w:sz w:val="20"/>
          <w:szCs w:val="20"/>
        </w:rPr>
        <w:t xml:space="preserve">Общностни </w:t>
      </w:r>
      <w:r w:rsidR="00FA7394" w:rsidRPr="00BA6D83">
        <w:rPr>
          <w:rFonts w:ascii="Verdana" w:hAnsi="Verdana"/>
          <w:sz w:val="20"/>
          <w:szCs w:val="20"/>
        </w:rPr>
        <w:t>актове в областта на насърчаване на конкурентоспособността</w:t>
      </w:r>
      <w:r w:rsidR="008C2966" w:rsidRPr="00BA6D83">
        <w:rPr>
          <w:rFonts w:ascii="Verdana" w:hAnsi="Verdana"/>
          <w:sz w:val="20"/>
          <w:szCs w:val="20"/>
        </w:rPr>
        <w:t>,</w:t>
      </w:r>
      <w:r w:rsidR="00983E53" w:rsidRPr="00BA6D83">
        <w:rPr>
          <w:rFonts w:ascii="Verdana" w:hAnsi="Verdana"/>
          <w:sz w:val="20"/>
          <w:szCs w:val="20"/>
        </w:rPr>
        <w:t xml:space="preserve"> </w:t>
      </w:r>
      <w:r w:rsidR="008C2966" w:rsidRPr="00BA6D83">
        <w:rPr>
          <w:rFonts w:ascii="Verdana" w:hAnsi="Verdana"/>
          <w:sz w:val="20"/>
          <w:szCs w:val="20"/>
        </w:rPr>
        <w:t xml:space="preserve">в </w:t>
      </w:r>
      <w:r w:rsidR="00983E53" w:rsidRPr="00BA6D83">
        <w:rPr>
          <w:rFonts w:ascii="Verdana" w:hAnsi="Verdana"/>
          <w:sz w:val="20"/>
          <w:szCs w:val="20"/>
        </w:rPr>
        <w:t>съответствие с предоставени</w:t>
      </w:r>
      <w:r w:rsidR="00603076" w:rsidRPr="00BA6D83">
        <w:rPr>
          <w:rFonts w:ascii="Verdana" w:hAnsi="Verdana"/>
          <w:sz w:val="20"/>
          <w:szCs w:val="20"/>
        </w:rPr>
        <w:t>те със Съобщение на Комисията C/</w:t>
      </w:r>
      <w:r w:rsidR="00983E53" w:rsidRPr="00BA6D83">
        <w:rPr>
          <w:rFonts w:ascii="Verdana" w:hAnsi="Verdana"/>
          <w:sz w:val="20"/>
          <w:szCs w:val="20"/>
        </w:rPr>
        <w:t>2025</w:t>
      </w:r>
      <w:r w:rsidR="00603076" w:rsidRPr="00BA6D83">
        <w:rPr>
          <w:rFonts w:ascii="Verdana" w:hAnsi="Verdana"/>
          <w:sz w:val="20"/>
          <w:szCs w:val="20"/>
        </w:rPr>
        <w:t>/3602</w:t>
      </w:r>
      <w:r w:rsidR="00983E53" w:rsidRPr="00BA6D83">
        <w:rPr>
          <w:rFonts w:ascii="Verdana" w:hAnsi="Verdana"/>
          <w:sz w:val="20"/>
          <w:szCs w:val="20"/>
        </w:rPr>
        <w:t xml:space="preserve"> от 25.06.2025 г.</w:t>
      </w:r>
      <w:r w:rsidR="00603076" w:rsidRPr="00BA6D83">
        <w:rPr>
          <w:rFonts w:ascii="Verdana" w:hAnsi="Verdana"/>
          <w:sz w:val="20"/>
          <w:szCs w:val="20"/>
        </w:rPr>
        <w:t xml:space="preserve"> (OJ/04.07.2025)</w:t>
      </w:r>
      <w:r w:rsidR="00983E53" w:rsidRPr="00BA6D83">
        <w:rPr>
          <w:rFonts w:ascii="Verdana" w:hAnsi="Verdana"/>
          <w:sz w:val="20"/>
          <w:szCs w:val="20"/>
        </w:rPr>
        <w:t xml:space="preserve"> инструменти, основаващи се на опростени условия за съвместимост, които </w:t>
      </w:r>
      <w:r w:rsidR="00603076" w:rsidRPr="00BA6D83">
        <w:rPr>
          <w:rFonts w:ascii="Verdana" w:hAnsi="Verdana"/>
          <w:sz w:val="20"/>
          <w:szCs w:val="20"/>
        </w:rPr>
        <w:t>допълват съществуващите правила</w:t>
      </w:r>
      <w:r w:rsidR="00983E53" w:rsidRPr="00BA6D83">
        <w:rPr>
          <w:rFonts w:ascii="Verdana" w:hAnsi="Verdana"/>
          <w:sz w:val="20"/>
          <w:szCs w:val="20"/>
        </w:rPr>
        <w:t xml:space="preserve"> за</w:t>
      </w:r>
      <w:r w:rsidR="008C2966" w:rsidRPr="00BA6D83">
        <w:rPr>
          <w:rFonts w:ascii="Verdana" w:hAnsi="Verdana"/>
          <w:sz w:val="20"/>
          <w:szCs w:val="20"/>
        </w:rPr>
        <w:t xml:space="preserve"> държавните помощи </w:t>
      </w:r>
      <w:r w:rsidR="00FA7394" w:rsidRPr="00BA6D83">
        <w:rPr>
          <w:rFonts w:ascii="Verdana" w:hAnsi="Verdana"/>
          <w:sz w:val="20"/>
          <w:szCs w:val="20"/>
        </w:rPr>
        <w:t>и въз основа на чл. 36б, ал. 1, т. 4 от Закона за енергетиката</w:t>
      </w:r>
      <w:r w:rsidR="0026626A" w:rsidRPr="00BA6D83">
        <w:rPr>
          <w:rFonts w:ascii="Verdana" w:hAnsi="Verdana"/>
          <w:sz w:val="20"/>
          <w:szCs w:val="20"/>
        </w:rPr>
        <w:t xml:space="preserve"> (ЗЕ)</w:t>
      </w:r>
      <w:r w:rsidR="00BD1E2B" w:rsidRPr="00BA6D83">
        <w:rPr>
          <w:rFonts w:ascii="Verdana" w:hAnsi="Verdana"/>
          <w:sz w:val="20"/>
          <w:szCs w:val="20"/>
        </w:rPr>
        <w:t>,</w:t>
      </w:r>
      <w:r w:rsidR="00FA7394" w:rsidRPr="00BA6D83">
        <w:rPr>
          <w:rFonts w:ascii="Verdana" w:hAnsi="Verdana"/>
          <w:sz w:val="20"/>
          <w:szCs w:val="20"/>
        </w:rPr>
        <w:t xml:space="preserve"> внасям за разглеждане и приемане от Министерския съвет проект на </w:t>
      </w:r>
      <w:r w:rsidR="00E344D1" w:rsidRPr="00BA6D83">
        <w:rPr>
          <w:rFonts w:ascii="Verdana" w:hAnsi="Verdana"/>
          <w:sz w:val="20"/>
          <w:szCs w:val="20"/>
        </w:rPr>
        <w:t>Постановление за изменение и допълнение на Постановление № 237 на Министерския съвет от 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</w:r>
      <w:r w:rsidR="001629B8" w:rsidRPr="00BA6D83">
        <w:rPr>
          <w:rFonts w:ascii="Verdana" w:hAnsi="Verdana"/>
          <w:sz w:val="20"/>
          <w:szCs w:val="20"/>
        </w:rPr>
        <w:t xml:space="preserve">. </w:t>
      </w:r>
      <w:r w:rsidR="001629B8" w:rsidRPr="00BA6D83" w:rsidDel="001629B8">
        <w:rPr>
          <w:rFonts w:ascii="Verdana" w:hAnsi="Verdana"/>
          <w:sz w:val="20"/>
          <w:szCs w:val="20"/>
        </w:rPr>
        <w:t xml:space="preserve"> </w:t>
      </w:r>
      <w:r w:rsidR="00FA7394" w:rsidRPr="00BA6D83">
        <w:rPr>
          <w:rFonts w:ascii="Verdana" w:hAnsi="Verdana"/>
          <w:sz w:val="20"/>
          <w:szCs w:val="20"/>
        </w:rPr>
        <w:t xml:space="preserve"> </w:t>
      </w:r>
      <w:r w:rsidR="00603076" w:rsidRPr="00BA6D83">
        <w:rPr>
          <w:rFonts w:ascii="Verdana" w:hAnsi="Verdana"/>
          <w:sz w:val="20"/>
          <w:szCs w:val="20"/>
        </w:rPr>
        <w:t xml:space="preserve"> </w:t>
      </w:r>
      <w:r w:rsidR="00E344D1" w:rsidRPr="00BA6D83">
        <w:rPr>
          <w:rFonts w:ascii="Verdana" w:hAnsi="Verdana"/>
          <w:sz w:val="20"/>
          <w:szCs w:val="20"/>
        </w:rPr>
        <w:t xml:space="preserve">  </w:t>
      </w:r>
    </w:p>
    <w:p w:rsidR="005548F7" w:rsidRPr="00BA6D83" w:rsidRDefault="007071A3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Предложението ще даде възможност за прилагане на компенсаторен механизъм за</w:t>
      </w:r>
      <w:r w:rsidR="00253A31" w:rsidRPr="00BA6D83">
        <w:rPr>
          <w:rFonts w:ascii="Verdana" w:hAnsi="Verdana"/>
          <w:sz w:val="20"/>
          <w:szCs w:val="20"/>
        </w:rPr>
        <w:t xml:space="preserve"> фокусирана</w:t>
      </w:r>
      <w:r w:rsidRPr="00BA6D83">
        <w:rPr>
          <w:rFonts w:ascii="Verdana" w:hAnsi="Verdana"/>
          <w:sz w:val="20"/>
          <w:szCs w:val="20"/>
        </w:rPr>
        <w:t xml:space="preserve"> подкрепа </w:t>
      </w:r>
      <w:r w:rsidR="00253A31" w:rsidRPr="00BA6D83">
        <w:rPr>
          <w:rFonts w:ascii="Verdana" w:hAnsi="Verdana"/>
          <w:sz w:val="20"/>
          <w:szCs w:val="20"/>
        </w:rPr>
        <w:t>за енергоемките потребители</w:t>
      </w:r>
      <w:r w:rsidRPr="00BA6D83">
        <w:rPr>
          <w:rFonts w:ascii="Verdana" w:hAnsi="Verdana"/>
          <w:sz w:val="20"/>
          <w:szCs w:val="20"/>
        </w:rPr>
        <w:t xml:space="preserve">, предвид продължаващата ситуация с волатилност и периоди с високи цени на електрическата енергия, по-конкретно в региона на </w:t>
      </w:r>
      <w:r w:rsidR="00315907" w:rsidRPr="00BA6D83">
        <w:rPr>
          <w:rFonts w:ascii="Verdana" w:hAnsi="Verdana"/>
          <w:sz w:val="20"/>
          <w:szCs w:val="20"/>
        </w:rPr>
        <w:t xml:space="preserve">Югоизточна </w:t>
      </w:r>
      <w:r w:rsidRPr="00BA6D83">
        <w:rPr>
          <w:rFonts w:ascii="Verdana" w:hAnsi="Verdana"/>
          <w:sz w:val="20"/>
          <w:szCs w:val="20"/>
        </w:rPr>
        <w:t>Европа, която подкрепа във връзка с цените на електрическата енергия се явява критична за</w:t>
      </w:r>
      <w:r w:rsidR="00253A31" w:rsidRPr="00BA6D83">
        <w:rPr>
          <w:rFonts w:ascii="Verdana" w:hAnsi="Verdana"/>
          <w:sz w:val="20"/>
          <w:szCs w:val="20"/>
        </w:rPr>
        <w:t xml:space="preserve"> запазване на</w:t>
      </w:r>
      <w:r w:rsidRPr="00BA6D83">
        <w:rPr>
          <w:rFonts w:ascii="Verdana" w:hAnsi="Verdana"/>
          <w:sz w:val="20"/>
          <w:szCs w:val="20"/>
        </w:rPr>
        <w:t xml:space="preserve"> конкурентоспособността на</w:t>
      </w:r>
      <w:r w:rsidR="005548F7" w:rsidRPr="00BA6D83">
        <w:rPr>
          <w:rFonts w:ascii="Verdana" w:hAnsi="Verdana"/>
          <w:sz w:val="20"/>
          <w:szCs w:val="20"/>
        </w:rPr>
        <w:t xml:space="preserve"> предприятия</w:t>
      </w:r>
      <w:r w:rsidR="00315907" w:rsidRPr="00BA6D83">
        <w:rPr>
          <w:rFonts w:ascii="Verdana" w:hAnsi="Verdana"/>
          <w:sz w:val="20"/>
          <w:szCs w:val="20"/>
        </w:rPr>
        <w:t>та</w:t>
      </w:r>
      <w:r w:rsidR="005548F7" w:rsidRPr="00BA6D83">
        <w:rPr>
          <w:rFonts w:ascii="Verdana" w:hAnsi="Verdana"/>
          <w:sz w:val="20"/>
          <w:szCs w:val="20"/>
        </w:rPr>
        <w:t>,</w:t>
      </w:r>
      <w:r w:rsidRPr="00BA6D83">
        <w:rPr>
          <w:rFonts w:ascii="Verdana" w:hAnsi="Verdana"/>
          <w:sz w:val="20"/>
          <w:szCs w:val="20"/>
        </w:rPr>
        <w:t xml:space="preserve"> </w:t>
      </w:r>
      <w:r w:rsidR="005548F7" w:rsidRPr="00BA6D83">
        <w:rPr>
          <w:rFonts w:ascii="Verdana" w:hAnsi="Verdana"/>
          <w:sz w:val="20"/>
          <w:szCs w:val="20"/>
        </w:rPr>
        <w:t>тъй като същите са почти изцяло експортно ориентирани</w:t>
      </w:r>
      <w:r w:rsidRPr="00BA6D83">
        <w:rPr>
          <w:rFonts w:ascii="Verdana" w:hAnsi="Verdana"/>
          <w:sz w:val="20"/>
          <w:szCs w:val="20"/>
        </w:rPr>
        <w:t xml:space="preserve">. </w:t>
      </w:r>
    </w:p>
    <w:p w:rsidR="00525C27" w:rsidRPr="00BA6D83" w:rsidRDefault="005548F7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Във връзка с критичната необходимост от разработване и прилагане на справедлив подход за подкрепа</w:t>
      </w:r>
      <w:r w:rsidR="00E54AF2" w:rsidRPr="00BA6D83">
        <w:rPr>
          <w:rFonts w:ascii="Verdana" w:hAnsi="Verdana"/>
          <w:sz w:val="20"/>
          <w:szCs w:val="20"/>
        </w:rPr>
        <w:t>, предвид приетото Съобщение на Комисията C/2025/3602 от 25.06.2025</w:t>
      </w:r>
      <w:r w:rsidR="006C39B6">
        <w:rPr>
          <w:rFonts w:ascii="Verdana" w:hAnsi="Verdana"/>
          <w:sz w:val="20"/>
          <w:szCs w:val="20"/>
        </w:rPr>
        <w:t> </w:t>
      </w:r>
      <w:r w:rsidR="00E54AF2" w:rsidRPr="00BA6D83">
        <w:rPr>
          <w:rFonts w:ascii="Verdana" w:hAnsi="Verdana"/>
          <w:sz w:val="20"/>
          <w:szCs w:val="20"/>
        </w:rPr>
        <w:t>г. (OJ/04.07.2025) и с оглед осъществен обмен със службите на ЕК по нотифицираната схема SA.120414(2025/N) във връзка с приетото Постановление № 237 на Министерския съвет от 2025 г.</w:t>
      </w:r>
      <w:r w:rsidR="00525C27" w:rsidRPr="00BA6D83">
        <w:rPr>
          <w:rFonts w:ascii="Verdana" w:hAnsi="Verdana"/>
          <w:sz w:val="20"/>
          <w:szCs w:val="20"/>
        </w:rPr>
        <w:t xml:space="preserve"> (ПМС 237/2025), бе установена</w:t>
      </w:r>
      <w:r w:rsidR="00E54AF2" w:rsidRPr="00BA6D83">
        <w:rPr>
          <w:rFonts w:ascii="Verdana" w:hAnsi="Verdana"/>
          <w:sz w:val="20"/>
          <w:szCs w:val="20"/>
        </w:rPr>
        <w:t xml:space="preserve"> </w:t>
      </w:r>
      <w:r w:rsidR="00326A43" w:rsidRPr="00BA6D83">
        <w:rPr>
          <w:rFonts w:ascii="Verdana" w:hAnsi="Verdana"/>
          <w:sz w:val="20"/>
          <w:szCs w:val="20"/>
        </w:rPr>
        <w:t>необходимо</w:t>
      </w:r>
      <w:r w:rsidR="00525C27" w:rsidRPr="00BA6D83">
        <w:rPr>
          <w:rFonts w:ascii="Verdana" w:hAnsi="Verdana"/>
          <w:sz w:val="20"/>
          <w:szCs w:val="20"/>
        </w:rPr>
        <w:t>стта от</w:t>
      </w:r>
      <w:r w:rsidR="00326A43" w:rsidRPr="00BA6D83">
        <w:rPr>
          <w:rFonts w:ascii="Verdana" w:hAnsi="Verdana"/>
          <w:sz w:val="20"/>
          <w:szCs w:val="20"/>
        </w:rPr>
        <w:t xml:space="preserve"> прецизиране на </w:t>
      </w:r>
      <w:r w:rsidR="00525C27" w:rsidRPr="00BA6D83">
        <w:rPr>
          <w:rFonts w:ascii="Verdana" w:hAnsi="Verdana"/>
          <w:sz w:val="20"/>
          <w:szCs w:val="20"/>
        </w:rPr>
        <w:t>ПМС 237/</w:t>
      </w:r>
      <w:r w:rsidR="00326A43" w:rsidRPr="00BA6D83">
        <w:rPr>
          <w:rFonts w:ascii="Verdana" w:hAnsi="Verdana"/>
          <w:sz w:val="20"/>
          <w:szCs w:val="20"/>
        </w:rPr>
        <w:t>2025</w:t>
      </w:r>
      <w:r w:rsidR="009A3E31" w:rsidRPr="00BA6D83">
        <w:rPr>
          <w:rFonts w:ascii="Verdana" w:hAnsi="Verdana"/>
          <w:sz w:val="20"/>
          <w:szCs w:val="20"/>
        </w:rPr>
        <w:t> </w:t>
      </w:r>
      <w:r w:rsidR="00326A43" w:rsidRPr="00BA6D83">
        <w:rPr>
          <w:rFonts w:ascii="Verdana" w:hAnsi="Verdana"/>
          <w:sz w:val="20"/>
          <w:szCs w:val="20"/>
        </w:rPr>
        <w:t xml:space="preserve">г. </w:t>
      </w:r>
    </w:p>
    <w:p w:rsidR="003C4774" w:rsidRPr="00BA6D83" w:rsidRDefault="00326A43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Предложените изменения са свързани с</w:t>
      </w:r>
      <w:r w:rsidR="003C4774" w:rsidRPr="00BA6D83">
        <w:rPr>
          <w:rFonts w:ascii="Verdana" w:hAnsi="Verdana"/>
          <w:sz w:val="20"/>
          <w:szCs w:val="20"/>
        </w:rPr>
        <w:t>:</w:t>
      </w:r>
      <w:r w:rsidRPr="00BA6D83">
        <w:rPr>
          <w:rFonts w:ascii="Verdana" w:hAnsi="Verdana"/>
          <w:sz w:val="20"/>
          <w:szCs w:val="20"/>
        </w:rPr>
        <w:t xml:space="preserve"> </w:t>
      </w:r>
    </w:p>
    <w:p w:rsidR="003C4774" w:rsidRPr="00BA6D83" w:rsidRDefault="003C477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- </w:t>
      </w:r>
      <w:r w:rsidR="009A3E31" w:rsidRPr="00BA6D83">
        <w:rPr>
          <w:rFonts w:ascii="Verdana" w:hAnsi="Verdana"/>
          <w:sz w:val="20"/>
          <w:szCs w:val="20"/>
        </w:rPr>
        <w:t>прецизиране на реда за доказване на допустимото количество електрическа енергия от предприятията-бенефициери при изплащане на компенсации на предприятия, които осъществяват както допустими икономически дейности (извършващи икономическа дейност в сектори изложени на значителен риск, посочени в Приложение № 1 към Насоките на ЕК относно държавната помощ в областта на климата, опазването на околната среда и енергетиката от 2022 г.), така и дейности, попадащи извън обхвата на подкрепа (и начинът за доказване на разпределението на разходите по дейности – допустими и недопустими)</w:t>
      </w:r>
      <w:r w:rsidRPr="00BA6D83">
        <w:rPr>
          <w:rFonts w:ascii="Verdana" w:hAnsi="Verdana"/>
          <w:sz w:val="20"/>
          <w:szCs w:val="20"/>
        </w:rPr>
        <w:t xml:space="preserve">;  </w:t>
      </w:r>
    </w:p>
    <w:p w:rsidR="003C4774" w:rsidRPr="00BA6D83" w:rsidRDefault="003C477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- определяне на прогнозен бюджет за целия период на действие на схемата;</w:t>
      </w:r>
    </w:p>
    <w:p w:rsidR="003C4774" w:rsidRPr="00BA6D83" w:rsidRDefault="003C477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- прецизиране на условията и реда за обмен на информация между доставчиците на електрическа енергия, Фонд „Сигурност на електроенергийната система“ и Министерството на енергетиката (по отношение на изплащането на ежемесечни компенсации);</w:t>
      </w:r>
    </w:p>
    <w:p w:rsidR="003C4774" w:rsidRPr="00BA6D83" w:rsidRDefault="003C477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lastRenderedPageBreak/>
        <w:t xml:space="preserve">- </w:t>
      </w:r>
      <w:r w:rsidR="009A3E31" w:rsidRPr="00BA6D83">
        <w:rPr>
          <w:rFonts w:ascii="Verdana" w:hAnsi="Verdana"/>
          <w:sz w:val="20"/>
          <w:szCs w:val="20"/>
        </w:rPr>
        <w:t>прецизиране на използваната терминология и осигуряване на прозрачност чрез регулярно публикуване на информация за размера на получените компенсации от предприятията-бенефициери и вида на инвестициите (задължителен насрещен ангажимент при получаване на подкрепа по настоящата схема)</w:t>
      </w:r>
      <w:r w:rsidRPr="00BA6D83">
        <w:rPr>
          <w:rFonts w:ascii="Verdana" w:hAnsi="Verdana"/>
          <w:sz w:val="20"/>
          <w:szCs w:val="20"/>
        </w:rPr>
        <w:t>.</w:t>
      </w:r>
      <w:r w:rsidR="009A3E31" w:rsidRPr="00BA6D83">
        <w:rPr>
          <w:rFonts w:ascii="Verdana" w:hAnsi="Verdana"/>
          <w:sz w:val="20"/>
          <w:szCs w:val="20"/>
        </w:rPr>
        <w:t xml:space="preserve"> </w:t>
      </w:r>
    </w:p>
    <w:p w:rsidR="005548F7" w:rsidRPr="00BA6D83" w:rsidRDefault="003C477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В останалата си част ПМС 237/2025 остава непроменено и предприятията ще могат да се възползват от схемата за подкрепа</w:t>
      </w:r>
      <w:r w:rsidR="005548F7" w:rsidRPr="00BA6D83">
        <w:rPr>
          <w:rFonts w:ascii="Verdana" w:hAnsi="Verdana"/>
          <w:sz w:val="20"/>
          <w:szCs w:val="20"/>
        </w:rPr>
        <w:t xml:space="preserve">, </w:t>
      </w:r>
      <w:r w:rsidR="00652FA2" w:rsidRPr="00BA6D83">
        <w:rPr>
          <w:rFonts w:ascii="Verdana" w:hAnsi="Verdana"/>
          <w:sz w:val="20"/>
          <w:szCs w:val="20"/>
        </w:rPr>
        <w:t xml:space="preserve">при спазване </w:t>
      </w:r>
      <w:r w:rsidR="004D4081" w:rsidRPr="00BA6D83">
        <w:rPr>
          <w:rFonts w:ascii="Verdana" w:hAnsi="Verdana"/>
          <w:sz w:val="20"/>
          <w:szCs w:val="20"/>
        </w:rPr>
        <w:t xml:space="preserve">кумулативно на следните ограничителни </w:t>
      </w:r>
      <w:r w:rsidR="005548F7" w:rsidRPr="00BA6D83">
        <w:rPr>
          <w:rFonts w:ascii="Verdana" w:hAnsi="Verdana"/>
          <w:sz w:val="20"/>
          <w:szCs w:val="20"/>
        </w:rPr>
        <w:t xml:space="preserve">условия: </w:t>
      </w:r>
    </w:p>
    <w:p w:rsidR="005548F7" w:rsidRPr="00BA6D83" w:rsidRDefault="005548F7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-</w:t>
      </w:r>
      <w:r w:rsidRPr="00BA6D83">
        <w:rPr>
          <w:rFonts w:ascii="Verdana" w:hAnsi="Verdana"/>
          <w:sz w:val="20"/>
          <w:szCs w:val="20"/>
        </w:rPr>
        <w:tab/>
      </w:r>
      <w:r w:rsidR="004D4081" w:rsidRPr="00BA6D83">
        <w:rPr>
          <w:rFonts w:ascii="Verdana" w:hAnsi="Verdana"/>
          <w:sz w:val="20"/>
          <w:szCs w:val="20"/>
        </w:rPr>
        <w:t>компенсация за д</w:t>
      </w:r>
      <w:r w:rsidRPr="00BA6D83">
        <w:rPr>
          <w:rFonts w:ascii="Verdana" w:hAnsi="Verdana"/>
          <w:sz w:val="20"/>
          <w:szCs w:val="20"/>
        </w:rPr>
        <w:t xml:space="preserve">о 50% </w:t>
      </w:r>
      <w:r w:rsidR="00C769CE" w:rsidRPr="00BA6D83">
        <w:rPr>
          <w:rFonts w:ascii="Verdana" w:hAnsi="Verdana"/>
          <w:sz w:val="20"/>
          <w:szCs w:val="20"/>
        </w:rPr>
        <w:t xml:space="preserve">от доставеното от един или повече доставчици и потребено от предприятието </w:t>
      </w:r>
      <w:r w:rsidR="00B31059" w:rsidRPr="00BA6D83">
        <w:rPr>
          <w:rFonts w:ascii="Verdana" w:hAnsi="Verdana"/>
          <w:sz w:val="20"/>
          <w:szCs w:val="20"/>
        </w:rPr>
        <w:t xml:space="preserve">допустимо </w:t>
      </w:r>
      <w:r w:rsidR="00C769CE" w:rsidRPr="00BA6D83">
        <w:rPr>
          <w:rFonts w:ascii="Verdana" w:hAnsi="Verdana"/>
          <w:sz w:val="20"/>
          <w:szCs w:val="20"/>
        </w:rPr>
        <w:t>количество активна електрическа енергия, измерено с едно или повече средства за търговско измерване, върху което по принцип следва да се начисли цена „задължение към обществото“ през съответния ценови период</w:t>
      </w:r>
      <w:r w:rsidRPr="00BA6D83">
        <w:rPr>
          <w:rFonts w:ascii="Verdana" w:hAnsi="Verdana"/>
          <w:sz w:val="20"/>
          <w:szCs w:val="20"/>
        </w:rPr>
        <w:t>;</w:t>
      </w:r>
    </w:p>
    <w:p w:rsidR="005548F7" w:rsidRPr="00BA6D83" w:rsidRDefault="005548F7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-</w:t>
      </w:r>
      <w:r w:rsidRPr="00BA6D83">
        <w:rPr>
          <w:rFonts w:ascii="Verdana" w:hAnsi="Verdana"/>
          <w:sz w:val="20"/>
          <w:szCs w:val="20"/>
        </w:rPr>
        <w:tab/>
      </w:r>
      <w:r w:rsidR="004D4081" w:rsidRPr="00BA6D83">
        <w:rPr>
          <w:rFonts w:ascii="Verdana" w:hAnsi="Verdana"/>
          <w:sz w:val="20"/>
          <w:szCs w:val="20"/>
        </w:rPr>
        <w:t>покриване на</w:t>
      </w:r>
      <w:r w:rsidR="00B821E3" w:rsidRPr="00BA6D83">
        <w:rPr>
          <w:rFonts w:ascii="Verdana" w:hAnsi="Verdana"/>
          <w:sz w:val="20"/>
          <w:szCs w:val="20"/>
        </w:rPr>
        <w:t xml:space="preserve"> </w:t>
      </w:r>
      <w:r w:rsidRPr="00BA6D83">
        <w:rPr>
          <w:rFonts w:ascii="Verdana" w:hAnsi="Verdana"/>
          <w:sz w:val="20"/>
          <w:szCs w:val="20"/>
        </w:rPr>
        <w:t xml:space="preserve">намаление </w:t>
      </w:r>
      <w:r w:rsidR="004D4081" w:rsidRPr="00BA6D83">
        <w:rPr>
          <w:rFonts w:ascii="Verdana" w:hAnsi="Verdana"/>
          <w:sz w:val="20"/>
          <w:szCs w:val="20"/>
        </w:rPr>
        <w:t>до</w:t>
      </w:r>
      <w:r w:rsidRPr="00BA6D83">
        <w:rPr>
          <w:rFonts w:ascii="Verdana" w:hAnsi="Verdana"/>
          <w:sz w:val="20"/>
          <w:szCs w:val="20"/>
        </w:rPr>
        <w:t xml:space="preserve"> 50% от</w:t>
      </w:r>
      <w:r w:rsidR="00243E94" w:rsidRPr="00BA6D83">
        <w:rPr>
          <w:rFonts w:ascii="Verdana" w:hAnsi="Verdana"/>
          <w:sz w:val="20"/>
          <w:szCs w:val="20"/>
        </w:rPr>
        <w:t xml:space="preserve"> постигнатата </w:t>
      </w:r>
      <w:r w:rsidR="00B31059" w:rsidRPr="00BA6D83">
        <w:rPr>
          <w:rFonts w:ascii="Verdana" w:hAnsi="Verdana"/>
          <w:sz w:val="20"/>
          <w:szCs w:val="20"/>
        </w:rPr>
        <w:t xml:space="preserve">средноаритметична </w:t>
      </w:r>
      <w:r w:rsidR="00243E94" w:rsidRPr="00BA6D83">
        <w:rPr>
          <w:rFonts w:ascii="Verdana" w:hAnsi="Verdana"/>
          <w:sz w:val="20"/>
          <w:szCs w:val="20"/>
        </w:rPr>
        <w:t>годишна цена за базов товар на пазарния сегмент „Ден напред” на организирания борсов пазар на електрическа енергия в страната</w:t>
      </w:r>
      <w:r w:rsidR="00B81874" w:rsidRPr="00BA6D83">
        <w:rPr>
          <w:rFonts w:ascii="Verdana" w:hAnsi="Verdana"/>
          <w:sz w:val="20"/>
          <w:szCs w:val="20"/>
        </w:rPr>
        <w:t xml:space="preserve"> </w:t>
      </w:r>
      <w:r w:rsidR="00B31059" w:rsidRPr="00BA6D83">
        <w:rPr>
          <w:rFonts w:ascii="Verdana" w:hAnsi="Verdana"/>
          <w:sz w:val="20"/>
          <w:szCs w:val="20"/>
        </w:rPr>
        <w:t xml:space="preserve">при отчитане на </w:t>
      </w:r>
      <w:r w:rsidR="00B81874" w:rsidRPr="00BA6D83">
        <w:rPr>
          <w:rFonts w:ascii="Verdana" w:hAnsi="Verdana"/>
          <w:sz w:val="20"/>
          <w:szCs w:val="20"/>
        </w:rPr>
        <w:t>постигнатата реална среднопретеглена годишна цена на потребителя, ако е по-малка от тази на пазарния сегмент</w:t>
      </w:r>
      <w:r w:rsidR="00243E94" w:rsidRPr="00BA6D83">
        <w:rPr>
          <w:rFonts w:ascii="Verdana" w:hAnsi="Verdana"/>
          <w:sz w:val="20"/>
          <w:szCs w:val="20"/>
        </w:rPr>
        <w:t>, приложена върху 50 на сто от доставеното от един или повече доставчици и потребено от предприятието</w:t>
      </w:r>
      <w:r w:rsidR="00B31059" w:rsidRPr="00BA6D83">
        <w:rPr>
          <w:rFonts w:ascii="Verdana" w:hAnsi="Verdana"/>
          <w:sz w:val="20"/>
          <w:szCs w:val="20"/>
        </w:rPr>
        <w:t xml:space="preserve"> допустимо</w:t>
      </w:r>
      <w:r w:rsidR="00243E94" w:rsidRPr="00BA6D83">
        <w:rPr>
          <w:rFonts w:ascii="Verdana" w:hAnsi="Verdana"/>
          <w:sz w:val="20"/>
          <w:szCs w:val="20"/>
        </w:rPr>
        <w:t xml:space="preserve"> количество активна електрическа енергия за същия период, измерен</w:t>
      </w:r>
      <w:r w:rsidR="00B31059" w:rsidRPr="00BA6D83">
        <w:rPr>
          <w:rFonts w:ascii="Verdana" w:hAnsi="Verdana"/>
          <w:sz w:val="20"/>
          <w:szCs w:val="20"/>
        </w:rPr>
        <w:t>о</w:t>
      </w:r>
      <w:r w:rsidR="00243E94" w:rsidRPr="00BA6D83">
        <w:rPr>
          <w:rFonts w:ascii="Verdana" w:hAnsi="Verdana"/>
          <w:sz w:val="20"/>
          <w:szCs w:val="20"/>
        </w:rPr>
        <w:t xml:space="preserve"> с едно или повече средства за търговско измерване, върху което по принцип следва да се начисли цена „задължение към обществото“</w:t>
      </w:r>
      <w:r w:rsidR="00C769CE" w:rsidRPr="00BA6D83">
        <w:rPr>
          <w:rFonts w:ascii="Verdana" w:hAnsi="Verdana"/>
          <w:sz w:val="20"/>
          <w:szCs w:val="20"/>
        </w:rPr>
        <w:t xml:space="preserve"> през съответния ценови период</w:t>
      </w:r>
      <w:r w:rsidRPr="00BA6D83">
        <w:rPr>
          <w:rFonts w:ascii="Verdana" w:hAnsi="Verdana"/>
          <w:sz w:val="20"/>
          <w:szCs w:val="20"/>
        </w:rPr>
        <w:t>;</w:t>
      </w:r>
    </w:p>
    <w:p w:rsidR="005548F7" w:rsidRPr="00BA6D83" w:rsidRDefault="005548F7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- </w:t>
      </w:r>
      <w:r w:rsidR="004D4081" w:rsidRPr="00BA6D83">
        <w:rPr>
          <w:rFonts w:ascii="Verdana" w:hAnsi="Verdana"/>
          <w:sz w:val="20"/>
          <w:szCs w:val="20"/>
        </w:rPr>
        <w:t xml:space="preserve">намаленията </w:t>
      </w:r>
      <w:r w:rsidRPr="00BA6D83">
        <w:rPr>
          <w:rFonts w:ascii="Verdana" w:hAnsi="Verdana"/>
          <w:sz w:val="20"/>
          <w:szCs w:val="20"/>
        </w:rPr>
        <w:t>не трябва да во</w:t>
      </w:r>
      <w:r w:rsidR="00603076" w:rsidRPr="00BA6D83">
        <w:rPr>
          <w:rFonts w:ascii="Verdana" w:hAnsi="Verdana"/>
          <w:sz w:val="20"/>
          <w:szCs w:val="20"/>
        </w:rPr>
        <w:t xml:space="preserve">дят до намаляване на </w:t>
      </w:r>
      <w:r w:rsidR="00B31059" w:rsidRPr="00BA6D83">
        <w:rPr>
          <w:rFonts w:ascii="Verdana" w:hAnsi="Verdana"/>
          <w:sz w:val="20"/>
          <w:szCs w:val="20"/>
        </w:rPr>
        <w:t xml:space="preserve">среднопретеглената </w:t>
      </w:r>
      <w:r w:rsidR="00603076" w:rsidRPr="00BA6D83">
        <w:rPr>
          <w:rFonts w:ascii="Verdana" w:hAnsi="Verdana"/>
          <w:sz w:val="20"/>
          <w:szCs w:val="20"/>
        </w:rPr>
        <w:t xml:space="preserve">цена </w:t>
      </w:r>
      <w:r w:rsidR="00B31059" w:rsidRPr="00BA6D83">
        <w:rPr>
          <w:rFonts w:ascii="Verdana" w:hAnsi="Verdana"/>
          <w:sz w:val="20"/>
          <w:szCs w:val="20"/>
        </w:rPr>
        <w:t xml:space="preserve">на съответното предприятие </w:t>
      </w:r>
      <w:r w:rsidR="00603076" w:rsidRPr="00BA6D83">
        <w:rPr>
          <w:rFonts w:ascii="Verdana" w:hAnsi="Verdana"/>
          <w:sz w:val="20"/>
          <w:szCs w:val="20"/>
        </w:rPr>
        <w:t>под</w:t>
      </w:r>
      <w:r w:rsidR="00EE28C0" w:rsidRPr="00BA6D83">
        <w:rPr>
          <w:rFonts w:ascii="Verdana" w:hAnsi="Verdana"/>
          <w:sz w:val="20"/>
          <w:szCs w:val="20"/>
        </w:rPr>
        <w:t xml:space="preserve"> 63,9</w:t>
      </w:r>
      <w:r w:rsidR="006C39B6">
        <w:rPr>
          <w:rFonts w:ascii="Verdana" w:hAnsi="Verdana"/>
          <w:sz w:val="20"/>
          <w:szCs w:val="20"/>
        </w:rPr>
        <w:t>1</w:t>
      </w:r>
      <w:r w:rsidR="00EE28C0" w:rsidRPr="00BA6D83">
        <w:rPr>
          <w:rFonts w:ascii="Verdana" w:hAnsi="Verdana"/>
          <w:sz w:val="20"/>
          <w:szCs w:val="20"/>
        </w:rPr>
        <w:t xml:space="preserve"> EUR/MWh</w:t>
      </w:r>
      <w:r w:rsidR="00603076" w:rsidRPr="00BA6D83">
        <w:rPr>
          <w:rFonts w:ascii="Verdana" w:hAnsi="Verdana"/>
          <w:sz w:val="20"/>
          <w:szCs w:val="20"/>
        </w:rPr>
        <w:t xml:space="preserve"> (125 лв./MWh)</w:t>
      </w:r>
      <w:r w:rsidR="00EE28C0" w:rsidRPr="00BA6D83">
        <w:rPr>
          <w:rFonts w:ascii="Verdana" w:hAnsi="Verdana"/>
          <w:sz w:val="20"/>
          <w:szCs w:val="20"/>
        </w:rPr>
        <w:t xml:space="preserve"> </w:t>
      </w:r>
      <w:r w:rsidRPr="00BA6D83">
        <w:rPr>
          <w:rFonts w:ascii="Verdana" w:hAnsi="Verdana"/>
          <w:sz w:val="20"/>
          <w:szCs w:val="20"/>
        </w:rPr>
        <w:t>за допустимото потребление</w:t>
      </w:r>
      <w:r w:rsidR="004D4081" w:rsidRPr="00BA6D83">
        <w:rPr>
          <w:rFonts w:ascii="Verdana" w:hAnsi="Verdana"/>
          <w:sz w:val="20"/>
          <w:szCs w:val="20"/>
        </w:rPr>
        <w:t xml:space="preserve"> и</w:t>
      </w:r>
    </w:p>
    <w:p w:rsidR="007B3387" w:rsidRPr="00BA6D83" w:rsidRDefault="005548F7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- </w:t>
      </w:r>
      <w:r w:rsidR="004D4081" w:rsidRPr="00BA6D83">
        <w:rPr>
          <w:rFonts w:ascii="Verdana" w:hAnsi="Verdana"/>
          <w:sz w:val="20"/>
          <w:szCs w:val="20"/>
        </w:rPr>
        <w:t>з</w:t>
      </w:r>
      <w:r w:rsidRPr="00BA6D83">
        <w:rPr>
          <w:rFonts w:ascii="Verdana" w:hAnsi="Verdana"/>
          <w:sz w:val="20"/>
          <w:szCs w:val="20"/>
        </w:rPr>
        <w:t xml:space="preserve">адължение за инвестиране на </w:t>
      </w:r>
      <w:r w:rsidR="00B81874" w:rsidRPr="00BA6D83">
        <w:rPr>
          <w:rFonts w:ascii="Verdana" w:hAnsi="Verdana"/>
          <w:sz w:val="20"/>
          <w:szCs w:val="20"/>
        </w:rPr>
        <w:t xml:space="preserve">най-малко на </w:t>
      </w:r>
      <w:r w:rsidRPr="00BA6D83">
        <w:rPr>
          <w:rFonts w:ascii="Verdana" w:hAnsi="Verdana"/>
          <w:sz w:val="20"/>
          <w:szCs w:val="20"/>
        </w:rPr>
        <w:t>50</w:t>
      </w:r>
      <w:r w:rsidR="00B81874" w:rsidRPr="00BA6D83">
        <w:rPr>
          <w:rFonts w:ascii="Verdana" w:hAnsi="Verdana"/>
          <w:sz w:val="20"/>
          <w:szCs w:val="20"/>
        </w:rPr>
        <w:t xml:space="preserve"> на сто </w:t>
      </w:r>
      <w:r w:rsidRPr="00BA6D83">
        <w:rPr>
          <w:rFonts w:ascii="Verdana" w:hAnsi="Verdana"/>
          <w:sz w:val="20"/>
          <w:szCs w:val="20"/>
        </w:rPr>
        <w:t xml:space="preserve">от размера на </w:t>
      </w:r>
      <w:r w:rsidR="00B81874" w:rsidRPr="00BA6D83">
        <w:rPr>
          <w:rFonts w:ascii="Verdana" w:hAnsi="Verdana"/>
          <w:sz w:val="20"/>
          <w:szCs w:val="20"/>
        </w:rPr>
        <w:t xml:space="preserve">получената компенсация </w:t>
      </w:r>
      <w:r w:rsidRPr="00BA6D83">
        <w:rPr>
          <w:rFonts w:ascii="Verdana" w:hAnsi="Verdana"/>
          <w:sz w:val="20"/>
          <w:szCs w:val="20"/>
        </w:rPr>
        <w:t>в мерки за декарбонизация за намаляване на разходите за електроенергийната система, в т.ч. и в проекти за гъвкава електрификация</w:t>
      </w:r>
      <w:r w:rsidR="004D4081" w:rsidRPr="00BA6D83">
        <w:rPr>
          <w:rFonts w:ascii="Verdana" w:hAnsi="Verdana"/>
          <w:sz w:val="20"/>
          <w:szCs w:val="20"/>
        </w:rPr>
        <w:t>, като д</w:t>
      </w:r>
      <w:r w:rsidRPr="00BA6D83">
        <w:rPr>
          <w:rFonts w:ascii="Verdana" w:hAnsi="Verdana"/>
          <w:sz w:val="20"/>
          <w:szCs w:val="20"/>
        </w:rPr>
        <w:t xml:space="preserve">опустимата инвестиционна дейност трябва да започне да функционира в срок от 48 месеца от предоставянето на помощта. </w:t>
      </w:r>
    </w:p>
    <w:p w:rsidR="005548F7" w:rsidRPr="00BA6D83" w:rsidRDefault="004D4081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Предложената Програма за компенсации е за </w:t>
      </w:r>
      <w:r w:rsidR="003C4774" w:rsidRPr="00BA6D83">
        <w:rPr>
          <w:rFonts w:ascii="Verdana" w:hAnsi="Verdana"/>
          <w:sz w:val="20"/>
          <w:szCs w:val="20"/>
        </w:rPr>
        <w:t xml:space="preserve">три последователни </w:t>
      </w:r>
      <w:r w:rsidR="00B31059" w:rsidRPr="00BA6D83">
        <w:rPr>
          <w:rFonts w:ascii="Verdana" w:hAnsi="Verdana"/>
          <w:sz w:val="20"/>
          <w:szCs w:val="20"/>
        </w:rPr>
        <w:t xml:space="preserve">ценови </w:t>
      </w:r>
      <w:r w:rsidR="003C4774" w:rsidRPr="00BA6D83">
        <w:rPr>
          <w:rFonts w:ascii="Verdana" w:hAnsi="Verdana"/>
          <w:sz w:val="20"/>
          <w:szCs w:val="20"/>
        </w:rPr>
        <w:t>периода</w:t>
      </w:r>
      <w:r w:rsidR="00603076" w:rsidRPr="00BA6D83">
        <w:rPr>
          <w:rFonts w:ascii="Verdana" w:hAnsi="Verdana"/>
          <w:sz w:val="20"/>
          <w:szCs w:val="20"/>
        </w:rPr>
        <w:t>, започващ</w:t>
      </w:r>
      <w:r w:rsidR="003C4774" w:rsidRPr="00BA6D83">
        <w:rPr>
          <w:rFonts w:ascii="Verdana" w:hAnsi="Verdana"/>
          <w:sz w:val="20"/>
          <w:szCs w:val="20"/>
        </w:rPr>
        <w:t>и</w:t>
      </w:r>
      <w:r w:rsidR="00603076" w:rsidRPr="00BA6D83">
        <w:rPr>
          <w:rFonts w:ascii="Verdana" w:hAnsi="Verdana"/>
          <w:sz w:val="20"/>
          <w:szCs w:val="20"/>
        </w:rPr>
        <w:t xml:space="preserve"> от </w:t>
      </w:r>
      <w:r w:rsidR="00B31059" w:rsidRPr="00BA6D83">
        <w:rPr>
          <w:rFonts w:ascii="Verdana" w:hAnsi="Verdana"/>
          <w:sz w:val="20"/>
          <w:szCs w:val="20"/>
        </w:rPr>
        <w:t xml:space="preserve">1 </w:t>
      </w:r>
      <w:r w:rsidRPr="00BA6D83">
        <w:rPr>
          <w:rFonts w:ascii="Verdana" w:hAnsi="Verdana"/>
          <w:sz w:val="20"/>
          <w:szCs w:val="20"/>
        </w:rPr>
        <w:t>юли 2025</w:t>
      </w:r>
      <w:r w:rsidR="006C39B6">
        <w:rPr>
          <w:rFonts w:ascii="Verdana" w:hAnsi="Verdana"/>
          <w:sz w:val="20"/>
          <w:szCs w:val="20"/>
        </w:rPr>
        <w:t xml:space="preserve"> </w:t>
      </w:r>
      <w:r w:rsidRPr="00BA6D83">
        <w:rPr>
          <w:rFonts w:ascii="Verdana" w:hAnsi="Verdana"/>
          <w:sz w:val="20"/>
          <w:szCs w:val="20"/>
        </w:rPr>
        <w:t>г.</w:t>
      </w:r>
      <w:r w:rsidR="00603076" w:rsidRPr="00BA6D83">
        <w:rPr>
          <w:rFonts w:ascii="Verdana" w:hAnsi="Verdana"/>
          <w:sz w:val="20"/>
          <w:szCs w:val="20"/>
        </w:rPr>
        <w:t xml:space="preserve">, с общ индикативен бюджет за целия период на </w:t>
      </w:r>
      <w:r w:rsidR="00B31059" w:rsidRPr="00BA6D83">
        <w:rPr>
          <w:rFonts w:ascii="Verdana" w:hAnsi="Verdana"/>
          <w:sz w:val="20"/>
          <w:szCs w:val="20"/>
        </w:rPr>
        <w:t>схемата</w:t>
      </w:r>
      <w:r w:rsidR="00603076" w:rsidRPr="00BA6D83">
        <w:rPr>
          <w:rFonts w:ascii="Verdana" w:hAnsi="Verdana"/>
          <w:sz w:val="20"/>
          <w:szCs w:val="20"/>
        </w:rPr>
        <w:t xml:space="preserve"> в размер на </w:t>
      </w:r>
      <w:r w:rsidR="00E344D1" w:rsidRPr="00BA6D83">
        <w:rPr>
          <w:rFonts w:ascii="Verdana" w:hAnsi="Verdana"/>
          <w:sz w:val="20"/>
          <w:szCs w:val="20"/>
        </w:rPr>
        <w:t>334 млн. €</w:t>
      </w:r>
      <w:r w:rsidR="00603076" w:rsidRPr="00BA6D83">
        <w:rPr>
          <w:rFonts w:ascii="Verdana" w:hAnsi="Verdana"/>
          <w:sz w:val="20"/>
          <w:szCs w:val="20"/>
        </w:rPr>
        <w:t xml:space="preserve">, от които – </w:t>
      </w:r>
      <w:r w:rsidR="00E344D1" w:rsidRPr="00BA6D83">
        <w:rPr>
          <w:rFonts w:ascii="Verdana" w:hAnsi="Verdana"/>
          <w:sz w:val="20"/>
          <w:szCs w:val="20"/>
        </w:rPr>
        <w:t xml:space="preserve">124 млн. € </w:t>
      </w:r>
      <w:r w:rsidR="00603076" w:rsidRPr="00BA6D83">
        <w:rPr>
          <w:rFonts w:ascii="Verdana" w:hAnsi="Verdana"/>
          <w:sz w:val="20"/>
          <w:szCs w:val="20"/>
        </w:rPr>
        <w:t xml:space="preserve">за първия </w:t>
      </w:r>
      <w:r w:rsidR="00B31059" w:rsidRPr="00BA6D83">
        <w:rPr>
          <w:rFonts w:ascii="Verdana" w:hAnsi="Verdana"/>
          <w:sz w:val="20"/>
          <w:szCs w:val="20"/>
        </w:rPr>
        <w:t xml:space="preserve">ценови </w:t>
      </w:r>
      <w:r w:rsidR="00603076" w:rsidRPr="00BA6D83">
        <w:rPr>
          <w:rFonts w:ascii="Verdana" w:hAnsi="Verdana"/>
          <w:sz w:val="20"/>
          <w:szCs w:val="20"/>
        </w:rPr>
        <w:t xml:space="preserve">период.  </w:t>
      </w:r>
      <w:r w:rsidRPr="00BA6D83">
        <w:rPr>
          <w:rFonts w:ascii="Verdana" w:hAnsi="Verdana"/>
          <w:sz w:val="20"/>
          <w:szCs w:val="20"/>
        </w:rPr>
        <w:t xml:space="preserve"> </w:t>
      </w:r>
    </w:p>
    <w:p w:rsidR="00316704" w:rsidRPr="00BA6D83" w:rsidRDefault="00087231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Предвидена е</w:t>
      </w:r>
      <w:r w:rsidR="00316704" w:rsidRPr="00BA6D83">
        <w:rPr>
          <w:rFonts w:ascii="Verdana" w:hAnsi="Verdana"/>
          <w:sz w:val="20"/>
          <w:szCs w:val="20"/>
        </w:rPr>
        <w:t xml:space="preserve"> възможност Министерския</w:t>
      </w:r>
      <w:r w:rsidR="00547828" w:rsidRPr="00BA6D83">
        <w:rPr>
          <w:rFonts w:ascii="Verdana" w:hAnsi="Verdana"/>
          <w:sz w:val="20"/>
          <w:szCs w:val="20"/>
        </w:rPr>
        <w:t>т</w:t>
      </w:r>
      <w:r w:rsidR="00316704" w:rsidRPr="00BA6D83">
        <w:rPr>
          <w:rFonts w:ascii="Verdana" w:hAnsi="Verdana"/>
          <w:sz w:val="20"/>
          <w:szCs w:val="20"/>
        </w:rPr>
        <w:t xml:space="preserve"> съвет да спре прилагането на програмата или да промени определени параметри, при липса на достатъчно средства за изпълнението й във ФСЕС, за всеки един от следващите два </w:t>
      </w:r>
      <w:r w:rsidR="00547828" w:rsidRPr="00BA6D83">
        <w:rPr>
          <w:rFonts w:ascii="Verdana" w:hAnsi="Verdana"/>
          <w:sz w:val="20"/>
          <w:szCs w:val="20"/>
        </w:rPr>
        <w:t xml:space="preserve">ценови </w:t>
      </w:r>
      <w:r w:rsidR="00316704" w:rsidRPr="00BA6D83">
        <w:rPr>
          <w:rFonts w:ascii="Verdana" w:hAnsi="Verdana"/>
          <w:sz w:val="20"/>
          <w:szCs w:val="20"/>
        </w:rPr>
        <w:t>периода.</w:t>
      </w:r>
    </w:p>
    <w:p w:rsidR="00753306" w:rsidRPr="00BA6D83" w:rsidRDefault="00EE28C0" w:rsidP="00010678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Помощта ще бъде предоставяна на допустими предприятия, които следва да подадат заявление </w:t>
      </w:r>
      <w:r w:rsidR="000255AB" w:rsidRPr="00BA6D83">
        <w:rPr>
          <w:rFonts w:ascii="Verdana" w:hAnsi="Verdana"/>
          <w:sz w:val="20"/>
          <w:szCs w:val="20"/>
        </w:rPr>
        <w:t>до доставчика, с ко</w:t>
      </w:r>
      <w:r w:rsidR="006C39B6">
        <w:rPr>
          <w:rFonts w:ascii="Verdana" w:hAnsi="Verdana"/>
          <w:sz w:val="20"/>
          <w:szCs w:val="20"/>
        </w:rPr>
        <w:t>гото</w:t>
      </w:r>
      <w:r w:rsidR="000255AB" w:rsidRPr="00BA6D83">
        <w:rPr>
          <w:rFonts w:ascii="Verdana" w:hAnsi="Verdana"/>
          <w:sz w:val="20"/>
          <w:szCs w:val="20"/>
        </w:rPr>
        <w:t xml:space="preserve"> има</w:t>
      </w:r>
      <w:r w:rsidRPr="00BA6D83">
        <w:rPr>
          <w:rFonts w:ascii="Verdana" w:hAnsi="Verdana"/>
          <w:sz w:val="20"/>
          <w:szCs w:val="20"/>
        </w:rPr>
        <w:t>т</w:t>
      </w:r>
      <w:r w:rsidR="000255AB" w:rsidRPr="00BA6D83">
        <w:rPr>
          <w:rFonts w:ascii="Verdana" w:hAnsi="Verdana"/>
          <w:sz w:val="20"/>
          <w:szCs w:val="20"/>
        </w:rPr>
        <w:t xml:space="preserve"> сключен договор за доставка на електрическа енергия</w:t>
      </w:r>
      <w:r w:rsidR="00E374C3" w:rsidRPr="00BA6D83">
        <w:rPr>
          <w:rFonts w:ascii="Verdana" w:hAnsi="Verdana"/>
          <w:sz w:val="20"/>
          <w:szCs w:val="20"/>
        </w:rPr>
        <w:t>. Предоставянето на помощ ще се извършва ежемесечно чрез доставчика</w:t>
      </w:r>
      <w:r w:rsidR="007B3387" w:rsidRPr="00BA6D83">
        <w:rPr>
          <w:rFonts w:ascii="Verdana" w:hAnsi="Verdana"/>
          <w:sz w:val="20"/>
          <w:szCs w:val="20"/>
        </w:rPr>
        <w:t xml:space="preserve"> </w:t>
      </w:r>
      <w:r w:rsidR="00E374C3" w:rsidRPr="00BA6D83">
        <w:rPr>
          <w:rFonts w:ascii="Verdana" w:hAnsi="Verdana"/>
          <w:sz w:val="20"/>
          <w:szCs w:val="20"/>
        </w:rPr>
        <w:t xml:space="preserve">чрез намаляване на дължимата сума за плащане по фактура. </w:t>
      </w:r>
    </w:p>
    <w:p w:rsidR="00F007A1" w:rsidRPr="00BA6D83" w:rsidRDefault="00EE28C0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Програмата предвижда министърът на енергетиката</w:t>
      </w:r>
      <w:r w:rsidR="007B3387" w:rsidRPr="00BA6D83">
        <w:rPr>
          <w:rFonts w:ascii="Verdana" w:hAnsi="Verdana"/>
          <w:sz w:val="20"/>
          <w:szCs w:val="20"/>
        </w:rPr>
        <w:t>,</w:t>
      </w:r>
      <w:r w:rsidRPr="00BA6D83">
        <w:rPr>
          <w:rFonts w:ascii="Verdana" w:hAnsi="Verdana"/>
          <w:sz w:val="20"/>
          <w:szCs w:val="20"/>
        </w:rPr>
        <w:t xml:space="preserve"> като </w:t>
      </w:r>
      <w:r w:rsidR="00F007A1" w:rsidRPr="00BA6D83">
        <w:rPr>
          <w:rFonts w:ascii="Verdana" w:hAnsi="Verdana"/>
          <w:sz w:val="20"/>
          <w:szCs w:val="20"/>
        </w:rPr>
        <w:t>администратор на държавната помощ</w:t>
      </w:r>
      <w:r w:rsidR="007B3387" w:rsidRPr="00BA6D83">
        <w:rPr>
          <w:rFonts w:ascii="Verdana" w:hAnsi="Verdana"/>
          <w:sz w:val="20"/>
          <w:szCs w:val="20"/>
        </w:rPr>
        <w:t>,</w:t>
      </w:r>
      <w:r w:rsidR="00F007A1" w:rsidRPr="00BA6D83">
        <w:rPr>
          <w:rFonts w:ascii="Verdana" w:hAnsi="Verdana"/>
          <w:sz w:val="20"/>
          <w:szCs w:val="20"/>
        </w:rPr>
        <w:t xml:space="preserve"> да </w:t>
      </w:r>
      <w:r w:rsidRPr="00BA6D83">
        <w:rPr>
          <w:rFonts w:ascii="Verdana" w:hAnsi="Verdana"/>
          <w:sz w:val="20"/>
          <w:szCs w:val="20"/>
        </w:rPr>
        <w:t xml:space="preserve">осъществява контрол и по отношение на изпълнението на </w:t>
      </w:r>
      <w:r w:rsidR="007B3387" w:rsidRPr="00BA6D83">
        <w:rPr>
          <w:rFonts w:ascii="Verdana" w:hAnsi="Verdana"/>
          <w:sz w:val="20"/>
          <w:szCs w:val="20"/>
        </w:rPr>
        <w:t>ангажимента</w:t>
      </w:r>
      <w:r w:rsidRPr="00BA6D83">
        <w:rPr>
          <w:rFonts w:ascii="Verdana" w:hAnsi="Verdana"/>
          <w:sz w:val="20"/>
          <w:szCs w:val="20"/>
        </w:rPr>
        <w:t xml:space="preserve"> за инвестиции от крайните получатели на помощта. </w:t>
      </w:r>
    </w:p>
    <w:p w:rsidR="00BA6D83" w:rsidRPr="00BA6D83" w:rsidRDefault="00F007A1" w:rsidP="00BA6D83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</w:t>
      </w:r>
      <w:r w:rsidR="005B24FC" w:rsidRPr="00BA6D83">
        <w:rPr>
          <w:rFonts w:ascii="Verdana" w:hAnsi="Verdana"/>
          <w:sz w:val="20"/>
          <w:szCs w:val="20"/>
        </w:rPr>
        <w:t>редвидена</w:t>
      </w:r>
      <w:r w:rsidRPr="00BA6D83">
        <w:rPr>
          <w:rFonts w:ascii="Verdana" w:hAnsi="Verdana"/>
          <w:sz w:val="20"/>
          <w:szCs w:val="20"/>
        </w:rPr>
        <w:t xml:space="preserve"> е</w:t>
      </w:r>
      <w:r w:rsidR="00CF740A" w:rsidRPr="00BA6D83">
        <w:rPr>
          <w:rFonts w:ascii="Verdana" w:hAnsi="Verdana"/>
          <w:sz w:val="20"/>
          <w:szCs w:val="20"/>
        </w:rPr>
        <w:t xml:space="preserve"> възможност за натрупване на помощта </w:t>
      </w:r>
      <w:r w:rsidR="00934FF3" w:rsidRPr="00BA6D83">
        <w:rPr>
          <w:rFonts w:ascii="Verdana" w:hAnsi="Verdana"/>
          <w:sz w:val="20"/>
          <w:szCs w:val="20"/>
        </w:rPr>
        <w:t xml:space="preserve">по настоящата Програма </w:t>
      </w:r>
      <w:r w:rsidR="00CF740A" w:rsidRPr="00BA6D83">
        <w:rPr>
          <w:rFonts w:ascii="Verdana" w:hAnsi="Verdana"/>
          <w:sz w:val="20"/>
          <w:szCs w:val="20"/>
        </w:rPr>
        <w:t xml:space="preserve">с всякаква друга държавна помощ или помощ de minimis, </w:t>
      </w:r>
      <w:r w:rsidRPr="00BA6D83">
        <w:rPr>
          <w:rFonts w:ascii="Verdana" w:hAnsi="Verdana"/>
          <w:sz w:val="20"/>
          <w:szCs w:val="20"/>
        </w:rPr>
        <w:t xml:space="preserve">или да се комбинира с централно управлявани фондове на Европейския съюз, частично или напълно, във връзка със същите допустими разходи, т. е. цената на едро на електрическата енергия, включително непреките разходи, които са направени от </w:t>
      </w:r>
      <w:r w:rsidR="00EE28C0" w:rsidRPr="00BA6D83">
        <w:rPr>
          <w:rFonts w:ascii="Verdana" w:hAnsi="Verdana"/>
          <w:sz w:val="20"/>
          <w:szCs w:val="20"/>
        </w:rPr>
        <w:t xml:space="preserve">прехвърлени </w:t>
      </w:r>
      <w:r w:rsidRPr="00BA6D83">
        <w:rPr>
          <w:rFonts w:ascii="Verdana" w:hAnsi="Verdana"/>
          <w:sz w:val="20"/>
          <w:szCs w:val="20"/>
        </w:rPr>
        <w:t xml:space="preserve">разходи за емисии на парникови газове, в цените на електрическата енергия, при условие че това натрупване не води до превишаване на най-високия интензитет или размер на </w:t>
      </w:r>
      <w:r w:rsidR="00EE28C0" w:rsidRPr="00BA6D83">
        <w:rPr>
          <w:rFonts w:ascii="Verdana" w:hAnsi="Verdana"/>
          <w:sz w:val="20"/>
          <w:szCs w:val="20"/>
        </w:rPr>
        <w:t xml:space="preserve">съответната </w:t>
      </w:r>
      <w:r w:rsidRPr="00BA6D83">
        <w:rPr>
          <w:rFonts w:ascii="Verdana" w:hAnsi="Verdana"/>
          <w:sz w:val="20"/>
          <w:szCs w:val="20"/>
        </w:rPr>
        <w:t>помощ. Когато се натрупва с помощ за компенсиране на непреките разходи за емисии</w:t>
      </w:r>
      <w:r w:rsidR="006C39B6">
        <w:rPr>
          <w:rFonts w:ascii="Verdana" w:hAnsi="Verdana"/>
          <w:sz w:val="20"/>
          <w:szCs w:val="20"/>
        </w:rPr>
        <w:t>,</w:t>
      </w:r>
      <w:r w:rsidRPr="00BA6D83">
        <w:rPr>
          <w:rFonts w:ascii="Verdana" w:hAnsi="Verdana"/>
          <w:sz w:val="20"/>
          <w:szCs w:val="20"/>
        </w:rPr>
        <w:t xml:space="preserve"> съгласно Насоките на Комисията относно определени мерки за държавна помощ в контекста на системата за търговия с квоти за емисии на парникови газове след 2021 г. (ОВ, C 317/5 от 25 септември 2020 г.), комбинираният размер на помощта не може да надвишава най-големия размер, приложим съгласно </w:t>
      </w:r>
      <w:r w:rsidR="00EE28C0" w:rsidRPr="00BA6D83">
        <w:rPr>
          <w:rFonts w:ascii="Verdana" w:hAnsi="Verdana"/>
          <w:sz w:val="20"/>
          <w:szCs w:val="20"/>
        </w:rPr>
        <w:t xml:space="preserve">насоките или </w:t>
      </w:r>
      <w:r w:rsidR="009A3E31" w:rsidRPr="00BA6D83">
        <w:rPr>
          <w:rFonts w:ascii="Verdana" w:hAnsi="Verdana"/>
          <w:sz w:val="20"/>
          <w:szCs w:val="20"/>
        </w:rPr>
        <w:t>приетото Съобщение на Комисията C/2025/3602 от 25.06.2025 г. (OJ/04.07.2025)</w:t>
      </w:r>
      <w:r w:rsidR="00EE28C0" w:rsidRPr="00BA6D83">
        <w:rPr>
          <w:rFonts w:ascii="Verdana" w:hAnsi="Verdana"/>
          <w:sz w:val="20"/>
          <w:szCs w:val="20"/>
        </w:rPr>
        <w:t>.</w:t>
      </w:r>
    </w:p>
    <w:p w:rsidR="0035016E" w:rsidRDefault="00807071" w:rsidP="0035016E">
      <w:pPr>
        <w:pStyle w:val="NoSpacing"/>
        <w:spacing w:line="276" w:lineRule="auto"/>
        <w:ind w:firstLine="720"/>
        <w:jc w:val="both"/>
        <w:rPr>
          <w:rFonts w:ascii="Verdana" w:hAnsi="Verdana" w:cs="TimokCYR Cyr"/>
          <w:color w:val="000000"/>
          <w:sz w:val="20"/>
          <w:szCs w:val="20"/>
          <w:lang w:eastAsia="bg-BG"/>
        </w:rPr>
      </w:pPr>
      <w:r w:rsidRPr="00BA6D83">
        <w:rPr>
          <w:rFonts w:ascii="Verdana" w:hAnsi="Verdana"/>
          <w:sz w:val="20"/>
          <w:szCs w:val="20"/>
        </w:rPr>
        <w:t xml:space="preserve">Средствата за </w:t>
      </w:r>
      <w:r w:rsidR="005D70A4" w:rsidRPr="00BA6D83">
        <w:rPr>
          <w:rFonts w:ascii="Verdana" w:hAnsi="Verdana"/>
          <w:sz w:val="20"/>
          <w:szCs w:val="20"/>
        </w:rPr>
        <w:t xml:space="preserve"> изпълнение на предложения проект на </w:t>
      </w:r>
      <w:r w:rsidR="00F007A1" w:rsidRPr="00BA6D83">
        <w:rPr>
          <w:rFonts w:ascii="Verdana" w:hAnsi="Verdana"/>
          <w:sz w:val="20"/>
          <w:szCs w:val="20"/>
        </w:rPr>
        <w:t>Постановление</w:t>
      </w:r>
      <w:r w:rsidR="005D70A4" w:rsidRPr="00BA6D83">
        <w:rPr>
          <w:rFonts w:ascii="Verdana" w:hAnsi="Verdana"/>
          <w:sz w:val="20"/>
          <w:szCs w:val="20"/>
        </w:rPr>
        <w:t xml:space="preserve"> на Министерския съвет</w:t>
      </w:r>
      <w:r w:rsidR="005D70A4" w:rsidRPr="00BA6D83" w:rsidDel="005D70A4">
        <w:rPr>
          <w:rFonts w:ascii="Verdana" w:hAnsi="Verdana"/>
          <w:sz w:val="20"/>
          <w:szCs w:val="20"/>
        </w:rPr>
        <w:t xml:space="preserve"> </w:t>
      </w:r>
      <w:r w:rsidR="00087231" w:rsidRPr="00BA6D83">
        <w:rPr>
          <w:rFonts w:ascii="Verdana" w:hAnsi="Verdana"/>
          <w:sz w:val="20"/>
          <w:szCs w:val="20"/>
        </w:rPr>
        <w:t>за изменение и допълнение на Постановление № 237 на Министерския съвет от 2025</w:t>
      </w:r>
      <w:r w:rsidR="009A3E31" w:rsidRPr="00BA6D83">
        <w:rPr>
          <w:rFonts w:ascii="Verdana" w:hAnsi="Verdana"/>
          <w:sz w:val="20"/>
          <w:szCs w:val="20"/>
        </w:rPr>
        <w:t> </w:t>
      </w:r>
      <w:r w:rsidR="00087231" w:rsidRPr="00BA6D83">
        <w:rPr>
          <w:rFonts w:ascii="Verdana" w:hAnsi="Verdana"/>
          <w:sz w:val="20"/>
          <w:szCs w:val="20"/>
        </w:rPr>
        <w:t>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</w:t>
      </w:r>
      <w:r w:rsidR="005D70A4" w:rsidRPr="00BA6D83">
        <w:rPr>
          <w:rFonts w:ascii="Verdana" w:hAnsi="Verdana"/>
          <w:sz w:val="20"/>
          <w:szCs w:val="20"/>
        </w:rPr>
        <w:t xml:space="preserve"> </w:t>
      </w:r>
      <w:r w:rsidRPr="00BA6D83">
        <w:rPr>
          <w:rFonts w:ascii="Verdana" w:hAnsi="Verdana"/>
          <w:sz w:val="20"/>
          <w:szCs w:val="20"/>
        </w:rPr>
        <w:t xml:space="preserve">ще бъдат осигурени от </w:t>
      </w:r>
      <w:r w:rsidR="00713C0B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приходи във Фонд „Сигурност на електроенергийната система“ по чл. 36д, ал. 1, </w:t>
      </w:r>
      <w:r w:rsidR="009A3E31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т. </w:t>
      </w:r>
      <w:r w:rsidR="00713C0B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11 от Закона за енергетиката </w:t>
      </w:r>
      <w:r w:rsidR="00076D99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от целеви вноски и/или по чл. 36д, ал. 1, т. 8 от </w:t>
      </w:r>
      <w:r w:rsidR="00076D99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lastRenderedPageBreak/>
        <w:t xml:space="preserve">ЗЕ от предоставени средства от държавния бюджет за обезпечаване изпълнението на програмата за съответния ценови период </w:t>
      </w:r>
      <w:r w:rsidR="00713C0B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и/или </w:t>
      </w:r>
      <w:r w:rsidR="00076D99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от </w:t>
      </w:r>
      <w:r w:rsidR="00713C0B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>определени средства по чл. 21, ал. 1, т. 8д от Закона за енергетиката</w:t>
      </w:r>
      <w:r w:rsidR="00076D99" w:rsidRPr="00BA6D83">
        <w:rPr>
          <w:rFonts w:ascii="Verdana" w:hAnsi="Verdana" w:cs="TimokCYR Cyr"/>
          <w:color w:val="000000"/>
          <w:sz w:val="20"/>
          <w:szCs w:val="20"/>
          <w:lang w:eastAsia="bg-BG"/>
        </w:rPr>
        <w:t>.</w:t>
      </w:r>
    </w:p>
    <w:p w:rsidR="00D73FC2" w:rsidRPr="00BA6D83" w:rsidRDefault="00D73FC2" w:rsidP="00D73FC2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Проектът на акт не е свързан с въвеждане на изисквания на европейското право, поради което не се налага изготвяне на справка за съответствието с него. </w:t>
      </w:r>
    </w:p>
    <w:p w:rsidR="0058730C" w:rsidRPr="0058730C" w:rsidRDefault="0058730C" w:rsidP="0058730C">
      <w:pPr>
        <w:pStyle w:val="NoSpacing"/>
        <w:spacing w:line="276" w:lineRule="auto"/>
        <w:ind w:firstLine="720"/>
        <w:jc w:val="both"/>
        <w:rPr>
          <w:rFonts w:ascii="Verdana" w:hAnsi="Verdana" w:cs="TimokCYR Cyr"/>
          <w:color w:val="000000"/>
          <w:sz w:val="20"/>
          <w:szCs w:val="20"/>
          <w:lang w:eastAsia="bg-BG"/>
        </w:rPr>
      </w:pPr>
      <w:r w:rsidRPr="0058730C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За прилагане на мярката е необходимо Решение на ЕК за държавна помощ, за което службите на Комисията бяха нотифицирани своевременно, при приемане на ПМС 237/2025 г. Решението е прието на 16 април 2026 г. (въпреки първоначалните очаквания за произнасяне в двумесечен срок), с което възникна необходимост от прецизиране на текстове на приетото ПМС 237/2025 г. Успоредно с осъществения обмен със службите на ЕК стартираха и военните действия в Близкия изток, с произтичащите от тях негативни влияния върху енергийните пазари (допълнени от затварянето на Ормузкия проток), което доведе до изразяване на силна загриженост и </w:t>
      </w:r>
      <w:r>
        <w:rPr>
          <w:rFonts w:ascii="Verdana" w:hAnsi="Verdana" w:cs="TimokCYR Cyr"/>
          <w:color w:val="000000"/>
          <w:sz w:val="20"/>
          <w:szCs w:val="20"/>
          <w:lang w:eastAsia="bg-BG"/>
        </w:rPr>
        <w:t>от страна на председателя на ЕК</w:t>
      </w:r>
      <w:r w:rsidRPr="0058730C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. Сред очертаните мерки за намаляване на негативните ефекти от конфликта са предвидени и възможности за по-гъвкаво и ускорено прилагане на схеми за държавна помощ за предприятията с оглед икономическа защита и запазване на тяхната конкурентоспособност.     </w:t>
      </w:r>
    </w:p>
    <w:p w:rsidR="00087231" w:rsidRPr="00BA6D83" w:rsidRDefault="0058730C" w:rsidP="0058730C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58730C">
        <w:rPr>
          <w:rFonts w:ascii="Verdana" w:hAnsi="Verdana" w:cs="TimokCYR Cyr"/>
          <w:color w:val="000000"/>
          <w:sz w:val="20"/>
          <w:szCs w:val="20"/>
          <w:lang w:eastAsia="bg-BG"/>
        </w:rPr>
        <w:t xml:space="preserve">Във връзка с критичната необходимост от прилагане на справедлив подход за подкрепа на българските енергоинтезивни предприятия (в т.ч. и в контекста на получената обратна връзка по ПМС 237/2025 от службите на ЕК по нотифицирана схема SA.120414(2025/N)), предвид конфликта в Близкия изток и отражението на ситуацията върху енергийните пазари и с оглед нормативно установената възможност в чл. 26, ал. 4, изречение второ от Закона за нормативните актове, е предложено обществените консултации по проекта на акт да се проведат в съкратен срок. Това ще позволи своевременното приемане на постановлението и прилагане на предвидените в него мерки за подкрепа. </w:t>
      </w:r>
      <w:r w:rsidR="0081201D" w:rsidRPr="00BA6D83">
        <w:rPr>
          <w:rFonts w:ascii="Verdana" w:hAnsi="Verdana"/>
          <w:sz w:val="20"/>
          <w:szCs w:val="20"/>
        </w:rPr>
        <w:t xml:space="preserve">Предвид характера на предложения акт, който попада сред предвидените в чл. 35, ал. 2, т. 7 от </w:t>
      </w:r>
      <w:r w:rsidR="005D70A4" w:rsidRPr="00BA6D83">
        <w:rPr>
          <w:rFonts w:ascii="Verdana" w:hAnsi="Verdana"/>
          <w:sz w:val="20"/>
          <w:szCs w:val="20"/>
          <w:lang w:eastAsia="bg-BG"/>
        </w:rPr>
        <w:t>Устройствения правилник на Министерския съвет и на неговата администрация</w:t>
      </w:r>
      <w:r w:rsidR="0081201D" w:rsidRPr="00BA6D83">
        <w:rPr>
          <w:rFonts w:ascii="Verdana" w:hAnsi="Verdana"/>
          <w:sz w:val="20"/>
          <w:szCs w:val="20"/>
        </w:rPr>
        <w:t>, е проведено публично обсъждане по изготвения проект.</w:t>
      </w:r>
      <w:r w:rsidR="00BA6D83" w:rsidRPr="00BA6D83">
        <w:rPr>
          <w:rFonts w:ascii="Verdana" w:hAnsi="Verdana"/>
          <w:sz w:val="20"/>
          <w:szCs w:val="20"/>
        </w:rPr>
        <w:t xml:space="preserve"> </w:t>
      </w:r>
    </w:p>
    <w:p w:rsidR="00087231" w:rsidRPr="00BA6D83" w:rsidRDefault="005D70A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 w:cs="Arial"/>
          <w:sz w:val="20"/>
          <w:szCs w:val="20"/>
        </w:rPr>
        <w:t>Към предложения проект на акт е приложена финансова обосновка по Приложение № 2.</w:t>
      </w:r>
      <w:r w:rsidR="00E95E2B" w:rsidRPr="00BA6D83">
        <w:rPr>
          <w:rFonts w:ascii="Verdana" w:hAnsi="Verdana" w:cs="Arial"/>
          <w:sz w:val="20"/>
          <w:szCs w:val="20"/>
        </w:rPr>
        <w:t>1</w:t>
      </w:r>
      <w:r w:rsidRPr="00BA6D83">
        <w:rPr>
          <w:rFonts w:ascii="Verdana" w:hAnsi="Verdana" w:cs="Arial"/>
          <w:sz w:val="20"/>
          <w:szCs w:val="20"/>
        </w:rPr>
        <w:t xml:space="preserve"> към чл. 35, ал. 1, т. 4, б. „</w:t>
      </w:r>
      <w:r w:rsidR="00E95E2B" w:rsidRPr="00BA6D83">
        <w:rPr>
          <w:rFonts w:ascii="Verdana" w:hAnsi="Verdana" w:cs="Arial"/>
          <w:sz w:val="20"/>
          <w:szCs w:val="20"/>
        </w:rPr>
        <w:t>а</w:t>
      </w:r>
      <w:r w:rsidRPr="00BA6D83">
        <w:rPr>
          <w:rFonts w:ascii="Verdana" w:hAnsi="Verdana" w:cs="Arial"/>
          <w:sz w:val="20"/>
          <w:szCs w:val="20"/>
        </w:rPr>
        <w:t xml:space="preserve">“ от </w:t>
      </w:r>
      <w:r w:rsidR="00D649E2" w:rsidRPr="00BA6D83">
        <w:rPr>
          <w:rFonts w:ascii="Verdana" w:hAnsi="Verdana"/>
          <w:sz w:val="20"/>
          <w:szCs w:val="20"/>
          <w:lang w:eastAsia="bg-BG"/>
        </w:rPr>
        <w:t>Устройствения правилник на Министерския съвет и на неговата администрация</w:t>
      </w:r>
      <w:r w:rsidRPr="00BA6D83">
        <w:rPr>
          <w:rFonts w:ascii="Verdana" w:hAnsi="Verdana" w:cs="Arial"/>
          <w:sz w:val="20"/>
          <w:szCs w:val="20"/>
        </w:rPr>
        <w:t>, одобрена от министъра на финансите</w:t>
      </w:r>
      <w:r w:rsidR="00C14726">
        <w:rPr>
          <w:rFonts w:ascii="Verdana" w:hAnsi="Verdana" w:cs="Arial"/>
          <w:sz w:val="20"/>
          <w:szCs w:val="20"/>
        </w:rPr>
        <w:t>, предвид необходимостта от осигуряване на допълнителни средства на Фонд „Сигурност на електроенергийната система“ за 2026 г. чрез бюджета на Министерството на енергетиката</w:t>
      </w:r>
      <w:r w:rsidRPr="00BA6D83">
        <w:rPr>
          <w:rFonts w:ascii="Verdana" w:hAnsi="Verdana" w:cs="Arial"/>
          <w:sz w:val="20"/>
          <w:szCs w:val="20"/>
        </w:rPr>
        <w:t>.</w:t>
      </w:r>
    </w:p>
    <w:p w:rsidR="00E374C3" w:rsidRPr="00BA6D83" w:rsidRDefault="005D70A4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Настоящият доклад и проект</w:t>
      </w:r>
      <w:r w:rsidR="00813314" w:rsidRPr="00BA6D83">
        <w:rPr>
          <w:rFonts w:ascii="Verdana" w:hAnsi="Verdana"/>
          <w:sz w:val="20"/>
          <w:szCs w:val="20"/>
        </w:rPr>
        <w:t>ът</w:t>
      </w:r>
      <w:r w:rsidRPr="00BA6D83">
        <w:rPr>
          <w:rFonts w:ascii="Verdana" w:hAnsi="Verdana"/>
          <w:sz w:val="20"/>
          <w:szCs w:val="20"/>
        </w:rPr>
        <w:t xml:space="preserve"> на </w:t>
      </w:r>
      <w:r w:rsidR="00B821E3" w:rsidRPr="00BA6D83">
        <w:rPr>
          <w:rFonts w:ascii="Verdana" w:hAnsi="Verdana"/>
          <w:sz w:val="20"/>
          <w:szCs w:val="20"/>
        </w:rPr>
        <w:t xml:space="preserve">Постановление </w:t>
      </w:r>
      <w:r w:rsidRPr="00BA6D83">
        <w:rPr>
          <w:rFonts w:ascii="Verdana" w:hAnsi="Verdana"/>
          <w:sz w:val="20"/>
          <w:szCs w:val="20"/>
        </w:rPr>
        <w:t>са съгласувани</w:t>
      </w:r>
      <w:r w:rsidRPr="00BA6D83" w:rsidDel="005D70A4">
        <w:rPr>
          <w:rFonts w:ascii="Verdana" w:hAnsi="Verdana"/>
          <w:sz w:val="20"/>
          <w:szCs w:val="20"/>
        </w:rPr>
        <w:t xml:space="preserve"> </w:t>
      </w:r>
      <w:r w:rsidR="0081201D" w:rsidRPr="00BA6D83">
        <w:rPr>
          <w:rFonts w:ascii="Verdana" w:hAnsi="Verdana"/>
          <w:sz w:val="20"/>
          <w:szCs w:val="20"/>
        </w:rPr>
        <w:t xml:space="preserve">в съответствие с чл. 32, ал. 1 от </w:t>
      </w:r>
      <w:r w:rsidR="00D649E2" w:rsidRPr="00BA6D83">
        <w:rPr>
          <w:rFonts w:ascii="Verdana" w:hAnsi="Verdana"/>
          <w:sz w:val="20"/>
          <w:szCs w:val="20"/>
          <w:lang w:eastAsia="bg-BG"/>
        </w:rPr>
        <w:t>Устройствения правилник на Министерския съвет и на неговата администрация</w:t>
      </w:r>
      <w:r w:rsidR="0081201D" w:rsidRPr="00BA6D83">
        <w:rPr>
          <w:rFonts w:ascii="Verdana" w:hAnsi="Verdana"/>
          <w:sz w:val="20"/>
          <w:szCs w:val="20"/>
        </w:rPr>
        <w:t>.</w:t>
      </w:r>
    </w:p>
    <w:p w:rsidR="00087231" w:rsidRPr="00BA6D83" w:rsidRDefault="00087231" w:rsidP="00D25577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:rsidR="00E344D1" w:rsidRPr="00BA6D83" w:rsidRDefault="00E344D1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ГОСПОДИН МИНИСТЪР-ПРЕДСЕДАТЕЛ,</w:t>
      </w:r>
    </w:p>
    <w:p w:rsidR="00E344D1" w:rsidRPr="00BA6D83" w:rsidRDefault="00E344D1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ГОСПОЖИ И ГОСПОДА ЗАМЕСТНИК МИНИСТЪР-ПРЕДСЕДАТЕЛИ,</w:t>
      </w:r>
    </w:p>
    <w:p w:rsidR="0081201D" w:rsidRPr="00BA6D83" w:rsidRDefault="00E344D1" w:rsidP="00D25577">
      <w:pPr>
        <w:pStyle w:val="NoSpacing"/>
        <w:spacing w:line="276" w:lineRule="auto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УВАЖАЕМИ ГОСПОЖИ И ГОСПОДА МИНИСТРИ,</w:t>
      </w:r>
    </w:p>
    <w:p w:rsidR="00087231" w:rsidRPr="00BA6D83" w:rsidRDefault="00087231" w:rsidP="00D25577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:rsidR="0081201D" w:rsidRPr="00BA6D83" w:rsidRDefault="0081201D" w:rsidP="00D25577">
      <w:pPr>
        <w:pStyle w:val="NoSpacing"/>
        <w:spacing w:line="276" w:lineRule="auto"/>
        <w:ind w:firstLine="720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С оглед гореизложе</w:t>
      </w:r>
      <w:r w:rsidR="00E344D1" w:rsidRPr="00BA6D83">
        <w:rPr>
          <w:rFonts w:ascii="Verdana" w:hAnsi="Verdana"/>
          <w:sz w:val="20"/>
          <w:szCs w:val="20"/>
        </w:rPr>
        <w:t>ното и на основание чл. 8, ал. 2</w:t>
      </w:r>
      <w:r w:rsidRPr="00BA6D83">
        <w:rPr>
          <w:rFonts w:ascii="Verdana" w:hAnsi="Verdana"/>
          <w:sz w:val="20"/>
          <w:szCs w:val="20"/>
        </w:rPr>
        <w:t xml:space="preserve"> от Устройствения правилник на Министерския съвет и на неговата администрация</w:t>
      </w:r>
      <w:r w:rsidR="0078161E" w:rsidRPr="00BA6D83">
        <w:rPr>
          <w:rFonts w:ascii="Verdana" w:hAnsi="Verdana"/>
          <w:sz w:val="20"/>
          <w:szCs w:val="20"/>
        </w:rPr>
        <w:t xml:space="preserve"> </w:t>
      </w:r>
      <w:r w:rsidRPr="00BA6D83">
        <w:rPr>
          <w:rFonts w:ascii="Verdana" w:hAnsi="Verdana"/>
          <w:sz w:val="20"/>
          <w:szCs w:val="20"/>
        </w:rPr>
        <w:t xml:space="preserve">предлагам Министерският съвет да разгледа и приеме предложения проект на </w:t>
      </w:r>
      <w:r w:rsidR="00B821E3" w:rsidRPr="00BA6D83">
        <w:rPr>
          <w:rFonts w:ascii="Verdana" w:hAnsi="Verdana"/>
          <w:sz w:val="20"/>
          <w:szCs w:val="20"/>
        </w:rPr>
        <w:t>постановление</w:t>
      </w:r>
      <w:r w:rsidRPr="00BA6D83">
        <w:rPr>
          <w:rFonts w:ascii="Verdana" w:hAnsi="Verdana"/>
          <w:sz w:val="20"/>
          <w:szCs w:val="20"/>
        </w:rPr>
        <w:t>.</w:t>
      </w:r>
    </w:p>
    <w:p w:rsidR="00087231" w:rsidRPr="00BA6D83" w:rsidRDefault="00087231" w:rsidP="00D25577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81201D" w:rsidRPr="00BA6D83" w:rsidRDefault="0081201D" w:rsidP="00D25577">
      <w:pPr>
        <w:pStyle w:val="NoSpacing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Приложения:</w:t>
      </w:r>
    </w:p>
    <w:p w:rsidR="0081201D" w:rsidRPr="00BA6D83" w:rsidRDefault="0081201D" w:rsidP="00D2557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Проект на </w:t>
      </w:r>
      <w:r w:rsidR="00652FA2" w:rsidRPr="00BA6D83">
        <w:rPr>
          <w:rFonts w:ascii="Verdana" w:hAnsi="Verdana"/>
          <w:sz w:val="20"/>
          <w:szCs w:val="20"/>
        </w:rPr>
        <w:t xml:space="preserve">Постановление </w:t>
      </w:r>
      <w:r w:rsidRPr="00BA6D83">
        <w:rPr>
          <w:rFonts w:ascii="Verdana" w:hAnsi="Verdana"/>
          <w:sz w:val="20"/>
          <w:szCs w:val="20"/>
        </w:rPr>
        <w:t>на Министерския съвет;</w:t>
      </w:r>
    </w:p>
    <w:p w:rsidR="0081201D" w:rsidRPr="00BA6D83" w:rsidRDefault="0081201D" w:rsidP="00D2557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 xml:space="preserve">Финансова обосновка към проекта на </w:t>
      </w:r>
      <w:r w:rsidR="00B821E3" w:rsidRPr="00BA6D83">
        <w:rPr>
          <w:rFonts w:ascii="Verdana" w:hAnsi="Verdana"/>
          <w:sz w:val="20"/>
          <w:szCs w:val="20"/>
        </w:rPr>
        <w:t>постановление</w:t>
      </w:r>
      <w:r w:rsidRPr="00BA6D83">
        <w:rPr>
          <w:rFonts w:ascii="Verdana" w:hAnsi="Verdana"/>
          <w:sz w:val="20"/>
          <w:szCs w:val="20"/>
        </w:rPr>
        <w:t>;</w:t>
      </w:r>
    </w:p>
    <w:p w:rsidR="0081201D" w:rsidRPr="00BA6D83" w:rsidRDefault="0081201D" w:rsidP="00D25577">
      <w:pPr>
        <w:pStyle w:val="NoSpacing"/>
        <w:numPr>
          <w:ilvl w:val="0"/>
          <w:numId w:val="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BA6D83">
        <w:rPr>
          <w:rFonts w:ascii="Verdana" w:hAnsi="Verdana"/>
          <w:sz w:val="20"/>
          <w:szCs w:val="20"/>
        </w:rPr>
        <w:t>Проект на съобщение за средствата за масово осведомяване.</w:t>
      </w:r>
    </w:p>
    <w:p w:rsidR="00087231" w:rsidRPr="00BA6D83" w:rsidRDefault="00087231" w:rsidP="00D25577">
      <w:pPr>
        <w:pStyle w:val="NoSpacing"/>
        <w:spacing w:line="276" w:lineRule="auto"/>
        <w:rPr>
          <w:rFonts w:ascii="Verdana" w:hAnsi="Verdana"/>
          <w:sz w:val="20"/>
          <w:szCs w:val="20"/>
        </w:rPr>
      </w:pPr>
    </w:p>
    <w:p w:rsidR="0081201D" w:rsidRPr="00BA6D83" w:rsidRDefault="0081201D" w:rsidP="00D25577">
      <w:pPr>
        <w:pStyle w:val="NoSpacing"/>
        <w:spacing w:line="276" w:lineRule="auto"/>
        <w:ind w:left="5040" w:firstLine="720"/>
        <w:rPr>
          <w:rFonts w:ascii="Verdana" w:hAnsi="Verdana"/>
          <w:b/>
          <w:sz w:val="20"/>
          <w:szCs w:val="20"/>
        </w:rPr>
      </w:pPr>
      <w:r w:rsidRPr="00BA6D83">
        <w:rPr>
          <w:rFonts w:ascii="Verdana" w:hAnsi="Verdana"/>
          <w:b/>
          <w:sz w:val="20"/>
          <w:szCs w:val="20"/>
        </w:rPr>
        <w:t>МИНИСТЪР:</w:t>
      </w:r>
      <w:r w:rsidR="002A3CBF" w:rsidRPr="00BA6D83">
        <w:rPr>
          <w:rFonts w:ascii="Verdana" w:hAnsi="Verdana"/>
          <w:b/>
          <w:sz w:val="20"/>
          <w:szCs w:val="20"/>
        </w:rPr>
        <w:t xml:space="preserve"> </w:t>
      </w:r>
    </w:p>
    <w:p w:rsidR="008A290F" w:rsidRPr="00BA6D83" w:rsidRDefault="002151A1" w:rsidP="00D25577">
      <w:pPr>
        <w:pStyle w:val="NoSpacing"/>
        <w:spacing w:line="276" w:lineRule="auto"/>
        <w:ind w:left="50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 w14:anchorId="202AE1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64.15pt;height:81.8pt">
            <v:imagedata r:id="rId8" o:title=""/>
            <o:lock v:ext="edit" ungrouping="t" rotation="t" cropping="t" verticies="t" text="t" grouping="t"/>
            <o:signatureline v:ext="edit" id="{DCD4BFB7-D630-4356-BB19-120350D8C929}" provid="{00000000-0000-0000-0000-000000000000}" issignatureline="t"/>
          </v:shape>
        </w:pict>
      </w:r>
      <w:r w:rsidR="0081201D" w:rsidRPr="00BA6D83">
        <w:rPr>
          <w:rFonts w:ascii="Verdana" w:hAnsi="Verdana"/>
          <w:sz w:val="20"/>
          <w:szCs w:val="20"/>
        </w:rPr>
        <w:tab/>
      </w:r>
      <w:r w:rsidR="0081201D" w:rsidRPr="00BA6D83">
        <w:rPr>
          <w:rFonts w:ascii="Verdana" w:hAnsi="Verdana"/>
          <w:sz w:val="20"/>
          <w:szCs w:val="20"/>
        </w:rPr>
        <w:tab/>
      </w:r>
    </w:p>
    <w:sectPr w:rsidR="008A290F" w:rsidRPr="00BA6D83" w:rsidSect="0058730C">
      <w:headerReference w:type="first" r:id="rId9"/>
      <w:footerReference w:type="first" r:id="rId10"/>
      <w:pgSz w:w="11907" w:h="16840" w:code="9"/>
      <w:pgMar w:top="720" w:right="720" w:bottom="720" w:left="720" w:header="1134" w:footer="275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A4" w:rsidRDefault="00DF59A4">
      <w:r>
        <w:separator/>
      </w:r>
    </w:p>
  </w:endnote>
  <w:endnote w:type="continuationSeparator" w:id="0">
    <w:p w:rsidR="00DF59A4" w:rsidRDefault="00DF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okCYR Cyr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46" w:rsidRPr="004F765C" w:rsidRDefault="005F7E46" w:rsidP="00641DAE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 w:rsidRPr="004F765C">
      <w:rPr>
        <w:rFonts w:ascii="Verdana" w:hAnsi="Verdana"/>
        <w:noProof/>
        <w:sz w:val="16"/>
        <w:szCs w:val="16"/>
        <w:lang w:val="bg-BG"/>
      </w:rPr>
      <w:t>гр. София 10</w:t>
    </w:r>
    <w:r>
      <w:rPr>
        <w:rFonts w:ascii="Verdana" w:hAnsi="Verdana"/>
        <w:noProof/>
        <w:sz w:val="16"/>
        <w:szCs w:val="16"/>
      </w:rPr>
      <w:t>00</w:t>
    </w:r>
    <w:r w:rsidRPr="004F765C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Триадица</w:t>
    </w:r>
    <w:r w:rsidRPr="004F765C">
      <w:rPr>
        <w:rFonts w:ascii="Verdana" w:hAnsi="Verdana"/>
        <w:noProof/>
        <w:sz w:val="16"/>
        <w:szCs w:val="16"/>
        <w:lang w:val="bg-BG"/>
      </w:rPr>
      <w:t>" №</w:t>
    </w:r>
    <w:r w:rsidR="00B56AB1">
      <w:rPr>
        <w:rFonts w:ascii="Verdana" w:hAnsi="Verdana"/>
        <w:noProof/>
        <w:sz w:val="16"/>
        <w:szCs w:val="16"/>
        <w:lang w:val="bg-BG"/>
      </w:rPr>
      <w:t xml:space="preserve"> </w:t>
    </w:r>
    <w:r w:rsidRPr="004F765C">
      <w:rPr>
        <w:rFonts w:ascii="Verdana" w:hAnsi="Verdana"/>
        <w:noProof/>
        <w:sz w:val="16"/>
        <w:szCs w:val="16"/>
        <w:lang w:val="bg-BG"/>
      </w:rPr>
      <w:t>8</w:t>
    </w:r>
  </w:p>
  <w:p w:rsidR="005F7E46" w:rsidRPr="00F0003C" w:rsidRDefault="005F7E46" w:rsidP="0058730C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Pr="008A166B">
      <w:rPr>
        <w:rFonts w:ascii="Verdana" w:hAnsi="Verdana"/>
        <w:noProof/>
        <w:sz w:val="16"/>
        <w:szCs w:val="16"/>
        <w:lang w:val="bg-BG"/>
      </w:rPr>
      <w:t xml:space="preserve">ел.: </w:t>
    </w:r>
    <w:r>
      <w:rPr>
        <w:noProof/>
        <w:sz w:val="16"/>
        <w:szCs w:val="16"/>
      </w:rPr>
      <w:t>(</w:t>
    </w:r>
    <w:r w:rsidRPr="008A166B">
      <w:rPr>
        <w:rFonts w:ascii="Verdana" w:hAnsi="Verdana"/>
        <w:noProof/>
        <w:sz w:val="16"/>
        <w:szCs w:val="16"/>
        <w:lang w:val="bg-BG"/>
      </w:rPr>
      <w:t>+359</w:t>
    </w:r>
    <w:r>
      <w:rPr>
        <w:noProof/>
        <w:sz w:val="16"/>
        <w:szCs w:val="16"/>
      </w:rPr>
      <w:t xml:space="preserve"> </w:t>
    </w:r>
    <w:r w:rsidRPr="008A166B">
      <w:rPr>
        <w:rFonts w:ascii="Verdana" w:hAnsi="Verdana"/>
        <w:noProof/>
        <w:sz w:val="16"/>
        <w:szCs w:val="16"/>
        <w:lang w:val="bg-BG"/>
      </w:rPr>
      <w:t>2</w:t>
    </w:r>
    <w:r>
      <w:rPr>
        <w:noProof/>
        <w:sz w:val="16"/>
        <w:szCs w:val="16"/>
      </w:rPr>
      <w:t>)</w:t>
    </w:r>
    <w:r w:rsidRPr="008A166B">
      <w:rPr>
        <w:rFonts w:ascii="Verdana" w:hAnsi="Verdana"/>
        <w:noProof/>
        <w:sz w:val="16"/>
        <w:szCs w:val="16"/>
        <w:lang w:val="bg-BG"/>
      </w:rPr>
      <w:t xml:space="preserve"> 9263 152</w:t>
    </w:r>
    <w:r w:rsidR="0058730C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ф</w:t>
    </w:r>
    <w:r w:rsidRPr="00F0003C">
      <w:rPr>
        <w:rFonts w:ascii="Verdana" w:hAnsi="Verdana"/>
        <w:noProof/>
        <w:sz w:val="16"/>
        <w:szCs w:val="16"/>
        <w:lang w:val="bg-BG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F0003C">
      <w:rPr>
        <w:rFonts w:ascii="Verdana" w:hAnsi="Verdana"/>
        <w:noProof/>
        <w:sz w:val="16"/>
        <w:szCs w:val="16"/>
        <w:lang w:val="bg-BG"/>
      </w:rPr>
      <w:t>+359</w:t>
    </w:r>
    <w:r w:rsidRPr="00F0003C">
      <w:rPr>
        <w:noProof/>
        <w:sz w:val="16"/>
        <w:szCs w:val="16"/>
        <w:lang w:val="bg-BG"/>
      </w:rPr>
      <w:t xml:space="preserve"> </w:t>
    </w:r>
    <w:r w:rsidRPr="00F0003C">
      <w:rPr>
        <w:rFonts w:ascii="Verdana" w:hAnsi="Verdana"/>
        <w:noProof/>
        <w:sz w:val="16"/>
        <w:szCs w:val="16"/>
        <w:lang w:val="bg-BG"/>
      </w:rPr>
      <w:t>2</w:t>
    </w:r>
    <w:r>
      <w:rPr>
        <w:rFonts w:ascii="Verdana" w:hAnsi="Verdana"/>
        <w:noProof/>
        <w:sz w:val="16"/>
        <w:szCs w:val="16"/>
        <w:lang w:val="bg-BG"/>
      </w:rPr>
      <w:t>)</w:t>
    </w:r>
    <w:r w:rsidRPr="00F0003C">
      <w:rPr>
        <w:rFonts w:ascii="Verdana" w:hAnsi="Verdana"/>
        <w:noProof/>
        <w:sz w:val="16"/>
        <w:szCs w:val="16"/>
        <w:lang w:val="bg-BG"/>
      </w:rPr>
      <w:t xml:space="preserve"> 980 76 30</w:t>
    </w:r>
  </w:p>
  <w:p w:rsidR="005F7E46" w:rsidRPr="0058730C" w:rsidRDefault="00DF59A4" w:rsidP="0058730C">
    <w:pPr>
      <w:pStyle w:val="Footer"/>
      <w:tabs>
        <w:tab w:val="left" w:pos="7230"/>
        <w:tab w:val="left" w:pos="7655"/>
      </w:tabs>
      <w:spacing w:line="276" w:lineRule="auto"/>
      <w:ind w:firstLine="0"/>
      <w:jc w:val="center"/>
      <w:rPr>
        <w:rFonts w:ascii="Verdana" w:hAnsi="Verdana"/>
        <w:noProof/>
        <w:sz w:val="16"/>
        <w:szCs w:val="16"/>
        <w:lang w:val="bg-BG"/>
      </w:rPr>
    </w:pPr>
    <w:hyperlink r:id="rId1" w:history="1">
      <w:r w:rsidR="0058730C" w:rsidRPr="00B344EF">
        <w:rPr>
          <w:rStyle w:val="Hyperlink"/>
          <w:rFonts w:ascii="Verdana" w:hAnsi="Verdana"/>
          <w:noProof/>
          <w:sz w:val="16"/>
          <w:szCs w:val="16"/>
          <w:lang w:val="it-IT"/>
        </w:rPr>
        <w:t>www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bg-BG"/>
        </w:rPr>
        <w:t>.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it-IT"/>
        </w:rPr>
        <w:t>me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bg-BG"/>
        </w:rPr>
        <w:t>.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it-IT"/>
        </w:rPr>
        <w:t>government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bg-BG"/>
        </w:rPr>
        <w:t>.</w:t>
      </w:r>
      <w:r w:rsidR="0058730C" w:rsidRPr="00B344EF">
        <w:rPr>
          <w:rStyle w:val="Hyperlink"/>
          <w:rFonts w:ascii="Verdana" w:hAnsi="Verdana"/>
          <w:noProof/>
          <w:sz w:val="16"/>
          <w:szCs w:val="16"/>
          <w:lang w:val="it-IT"/>
        </w:rPr>
        <w:t>bg</w:t>
      </w:r>
    </w:hyperlink>
    <w:r w:rsidR="0058730C">
      <w:rPr>
        <w:rFonts w:ascii="Verdana" w:hAnsi="Verdana"/>
        <w:noProof/>
        <w:sz w:val="16"/>
        <w:szCs w:val="16"/>
        <w:lang w:val="bg-BG"/>
      </w:rPr>
      <w:t xml:space="preserve">, </w:t>
    </w:r>
    <w:r w:rsidR="005F7E46" w:rsidRPr="004F765C">
      <w:rPr>
        <w:rFonts w:ascii="Verdana" w:hAnsi="Verdana"/>
        <w:noProof/>
        <w:sz w:val="16"/>
        <w:szCs w:val="16"/>
        <w:lang w:val="it-IT"/>
      </w:rPr>
      <w:t>e</w:t>
    </w:r>
    <w:r w:rsidR="005F7E46" w:rsidRPr="00F0003C">
      <w:rPr>
        <w:rFonts w:ascii="Verdana" w:hAnsi="Verdana"/>
        <w:noProof/>
        <w:sz w:val="16"/>
        <w:szCs w:val="16"/>
        <w:lang w:val="bg-BG"/>
      </w:rPr>
      <w:t>-</w:t>
    </w:r>
    <w:r w:rsidR="005F7E46" w:rsidRPr="004F765C">
      <w:rPr>
        <w:rFonts w:ascii="Verdana" w:hAnsi="Verdana"/>
        <w:noProof/>
        <w:sz w:val="16"/>
        <w:szCs w:val="16"/>
        <w:lang w:val="it-IT"/>
      </w:rPr>
      <w:t>mail</w:t>
    </w:r>
    <w:r w:rsidR="005F7E46" w:rsidRPr="00F0003C">
      <w:rPr>
        <w:rFonts w:ascii="Verdana" w:hAnsi="Verdana"/>
        <w:noProof/>
        <w:sz w:val="16"/>
        <w:szCs w:val="16"/>
        <w:lang w:val="bg-BG"/>
      </w:rPr>
      <w:t xml:space="preserve">: </w:t>
    </w:r>
    <w:r w:rsidR="005F7E46" w:rsidRPr="004F765C">
      <w:rPr>
        <w:rFonts w:ascii="Verdana" w:hAnsi="Verdana"/>
        <w:noProof/>
        <w:sz w:val="16"/>
        <w:szCs w:val="16"/>
        <w:lang w:val="it-IT"/>
      </w:rPr>
      <w:t>e</w:t>
    </w:r>
    <w:r w:rsidR="005F7E46" w:rsidRPr="00F0003C">
      <w:rPr>
        <w:rFonts w:ascii="Verdana" w:hAnsi="Verdana"/>
        <w:noProof/>
        <w:sz w:val="16"/>
        <w:szCs w:val="16"/>
        <w:lang w:val="bg-BG"/>
      </w:rPr>
      <w:t>-</w:t>
    </w:r>
    <w:r w:rsidR="005F7E46">
      <w:rPr>
        <w:rFonts w:ascii="Verdana" w:hAnsi="Verdana"/>
        <w:noProof/>
        <w:sz w:val="16"/>
        <w:szCs w:val="16"/>
        <w:lang w:val="it-IT"/>
      </w:rPr>
      <w:t>energy</w:t>
    </w:r>
    <w:r w:rsidR="005F7E46" w:rsidRPr="00F0003C">
      <w:rPr>
        <w:rFonts w:ascii="Verdana" w:hAnsi="Verdana"/>
        <w:noProof/>
        <w:sz w:val="16"/>
        <w:szCs w:val="16"/>
        <w:lang w:val="bg-BG"/>
      </w:rPr>
      <w:t>@</w:t>
    </w:r>
    <w:r w:rsidR="005F7E46">
      <w:rPr>
        <w:rFonts w:ascii="Verdana" w:hAnsi="Verdana"/>
        <w:noProof/>
        <w:sz w:val="16"/>
        <w:szCs w:val="16"/>
        <w:lang w:val="it-IT"/>
      </w:rPr>
      <w:t>me</w:t>
    </w:r>
    <w:r w:rsidR="005F7E46" w:rsidRPr="00F0003C">
      <w:rPr>
        <w:rFonts w:ascii="Verdana" w:hAnsi="Verdana"/>
        <w:noProof/>
        <w:sz w:val="16"/>
        <w:szCs w:val="16"/>
        <w:lang w:val="bg-BG"/>
      </w:rPr>
      <w:t>.</w:t>
    </w:r>
    <w:r w:rsidR="005F7E46" w:rsidRPr="004F765C">
      <w:rPr>
        <w:rFonts w:ascii="Verdana" w:hAnsi="Verdana"/>
        <w:noProof/>
        <w:sz w:val="16"/>
        <w:szCs w:val="16"/>
        <w:lang w:val="it-IT"/>
      </w:rPr>
      <w:t>government</w:t>
    </w:r>
    <w:r w:rsidR="005F7E46" w:rsidRPr="00F0003C">
      <w:rPr>
        <w:rFonts w:ascii="Verdana" w:hAnsi="Verdana"/>
        <w:noProof/>
        <w:sz w:val="16"/>
        <w:szCs w:val="16"/>
        <w:lang w:val="bg-BG"/>
      </w:rPr>
      <w:t>.</w:t>
    </w:r>
    <w:r w:rsidR="005F7E46" w:rsidRPr="004F765C">
      <w:rPr>
        <w:rFonts w:ascii="Verdana" w:hAnsi="Verdana"/>
        <w:noProof/>
        <w:sz w:val="16"/>
        <w:szCs w:val="16"/>
        <w:lang w:val="it-IT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A4" w:rsidRDefault="00DF59A4">
      <w:r>
        <w:separator/>
      </w:r>
    </w:p>
  </w:footnote>
  <w:footnote w:type="continuationSeparator" w:id="0">
    <w:p w:rsidR="00DF59A4" w:rsidRDefault="00DF5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E46" w:rsidRPr="0082009A" w:rsidRDefault="005F7E46" w:rsidP="0082009A">
    <w:pPr>
      <w:ind w:firstLine="0"/>
      <w:jc w:val="center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A27"/>
    <w:multiLevelType w:val="hybridMultilevel"/>
    <w:tmpl w:val="EFD8D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31741"/>
    <w:multiLevelType w:val="hybridMultilevel"/>
    <w:tmpl w:val="20A27094"/>
    <w:lvl w:ilvl="0" w:tplc="B322D306">
      <w:start w:val="2"/>
      <w:numFmt w:val="bullet"/>
      <w:lvlText w:val="-"/>
      <w:lvlJc w:val="left"/>
      <w:pPr>
        <w:ind w:left="927" w:hanging="360"/>
      </w:pPr>
      <w:rPr>
        <w:rFonts w:ascii="Verdana" w:eastAsia="Calibri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D7D741A"/>
    <w:multiLevelType w:val="hybridMultilevel"/>
    <w:tmpl w:val="1D2A3130"/>
    <w:lvl w:ilvl="0" w:tplc="400ECC6E">
      <w:start w:val="185"/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 w15:restartNumberingAfterBreak="0">
    <w:nsid w:val="5CAF777E"/>
    <w:multiLevelType w:val="hybridMultilevel"/>
    <w:tmpl w:val="6EB449AE"/>
    <w:lvl w:ilvl="0" w:tplc="334A29AE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F68604A"/>
    <w:multiLevelType w:val="hybridMultilevel"/>
    <w:tmpl w:val="AACA79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D5876"/>
    <w:multiLevelType w:val="hybridMultilevel"/>
    <w:tmpl w:val="E02E0960"/>
    <w:lvl w:ilvl="0" w:tplc="334A29AE"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7B2D4857"/>
    <w:multiLevelType w:val="hybridMultilevel"/>
    <w:tmpl w:val="25C8AC26"/>
    <w:lvl w:ilvl="0" w:tplc="BC8CE24C">
      <w:start w:val="2"/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79C"/>
    <w:rsid w:val="00004883"/>
    <w:rsid w:val="00007FCA"/>
    <w:rsid w:val="00010678"/>
    <w:rsid w:val="00020654"/>
    <w:rsid w:val="000213AD"/>
    <w:rsid w:val="00022F41"/>
    <w:rsid w:val="00024E88"/>
    <w:rsid w:val="000255AB"/>
    <w:rsid w:val="00030158"/>
    <w:rsid w:val="00033026"/>
    <w:rsid w:val="0003494B"/>
    <w:rsid w:val="00035058"/>
    <w:rsid w:val="00041553"/>
    <w:rsid w:val="000425E5"/>
    <w:rsid w:val="000519FF"/>
    <w:rsid w:val="000558A7"/>
    <w:rsid w:val="00062D31"/>
    <w:rsid w:val="000642F3"/>
    <w:rsid w:val="00064463"/>
    <w:rsid w:val="00065E85"/>
    <w:rsid w:val="000724CF"/>
    <w:rsid w:val="00075E7B"/>
    <w:rsid w:val="00076D99"/>
    <w:rsid w:val="00087231"/>
    <w:rsid w:val="000C0290"/>
    <w:rsid w:val="000C4B8A"/>
    <w:rsid w:val="000D402A"/>
    <w:rsid w:val="000D66B0"/>
    <w:rsid w:val="000E188B"/>
    <w:rsid w:val="000F0F6F"/>
    <w:rsid w:val="000F368B"/>
    <w:rsid w:val="000F68B1"/>
    <w:rsid w:val="00112560"/>
    <w:rsid w:val="001129CF"/>
    <w:rsid w:val="00127F6B"/>
    <w:rsid w:val="00133621"/>
    <w:rsid w:val="00145DAF"/>
    <w:rsid w:val="00146603"/>
    <w:rsid w:val="00157104"/>
    <w:rsid w:val="00157D1E"/>
    <w:rsid w:val="001610D7"/>
    <w:rsid w:val="001629B8"/>
    <w:rsid w:val="00163D29"/>
    <w:rsid w:val="00164B0A"/>
    <w:rsid w:val="00166D0A"/>
    <w:rsid w:val="001678E3"/>
    <w:rsid w:val="00174A6E"/>
    <w:rsid w:val="00175965"/>
    <w:rsid w:val="001804BE"/>
    <w:rsid w:val="00180681"/>
    <w:rsid w:val="00190975"/>
    <w:rsid w:val="00193154"/>
    <w:rsid w:val="00195006"/>
    <w:rsid w:val="001A6562"/>
    <w:rsid w:val="001C0D07"/>
    <w:rsid w:val="001C472F"/>
    <w:rsid w:val="001C7E9B"/>
    <w:rsid w:val="001D448C"/>
    <w:rsid w:val="001D4B42"/>
    <w:rsid w:val="001D69DF"/>
    <w:rsid w:val="001D70CE"/>
    <w:rsid w:val="001D7E52"/>
    <w:rsid w:val="001F1A8D"/>
    <w:rsid w:val="001F4C2C"/>
    <w:rsid w:val="00203DB4"/>
    <w:rsid w:val="00210EFB"/>
    <w:rsid w:val="00212303"/>
    <w:rsid w:val="002151A1"/>
    <w:rsid w:val="0022184B"/>
    <w:rsid w:val="00225EB2"/>
    <w:rsid w:val="0022649A"/>
    <w:rsid w:val="00237DF0"/>
    <w:rsid w:val="00243E94"/>
    <w:rsid w:val="00253A31"/>
    <w:rsid w:val="0026626A"/>
    <w:rsid w:val="00266BB3"/>
    <w:rsid w:val="00266D04"/>
    <w:rsid w:val="002819FB"/>
    <w:rsid w:val="0028584D"/>
    <w:rsid w:val="0029428B"/>
    <w:rsid w:val="002A3CBF"/>
    <w:rsid w:val="002A5199"/>
    <w:rsid w:val="002A7D85"/>
    <w:rsid w:val="002B08DA"/>
    <w:rsid w:val="002B2184"/>
    <w:rsid w:val="002B4238"/>
    <w:rsid w:val="002B61E4"/>
    <w:rsid w:val="002C460F"/>
    <w:rsid w:val="002D0972"/>
    <w:rsid w:val="002D0A10"/>
    <w:rsid w:val="002D226D"/>
    <w:rsid w:val="002D2B9D"/>
    <w:rsid w:val="002E208F"/>
    <w:rsid w:val="002E2C11"/>
    <w:rsid w:val="002F1534"/>
    <w:rsid w:val="002F6895"/>
    <w:rsid w:val="003062B6"/>
    <w:rsid w:val="00310D3F"/>
    <w:rsid w:val="00315907"/>
    <w:rsid w:val="00315B69"/>
    <w:rsid w:val="00316704"/>
    <w:rsid w:val="003202F1"/>
    <w:rsid w:val="00320C8D"/>
    <w:rsid w:val="00323411"/>
    <w:rsid w:val="00326A43"/>
    <w:rsid w:val="00332643"/>
    <w:rsid w:val="00332857"/>
    <w:rsid w:val="0033614E"/>
    <w:rsid w:val="003374E9"/>
    <w:rsid w:val="0034436E"/>
    <w:rsid w:val="00345FDB"/>
    <w:rsid w:val="003467D0"/>
    <w:rsid w:val="0035016E"/>
    <w:rsid w:val="00375281"/>
    <w:rsid w:val="00377F15"/>
    <w:rsid w:val="00383D34"/>
    <w:rsid w:val="00385DB8"/>
    <w:rsid w:val="00392045"/>
    <w:rsid w:val="003924CA"/>
    <w:rsid w:val="00392B72"/>
    <w:rsid w:val="0039474F"/>
    <w:rsid w:val="003A51FF"/>
    <w:rsid w:val="003A52B5"/>
    <w:rsid w:val="003B2E6A"/>
    <w:rsid w:val="003B2E74"/>
    <w:rsid w:val="003C119C"/>
    <w:rsid w:val="003C4774"/>
    <w:rsid w:val="003C652C"/>
    <w:rsid w:val="003C7349"/>
    <w:rsid w:val="003D648F"/>
    <w:rsid w:val="003D7A8F"/>
    <w:rsid w:val="003E6048"/>
    <w:rsid w:val="003F289A"/>
    <w:rsid w:val="003F2F43"/>
    <w:rsid w:val="003F64FA"/>
    <w:rsid w:val="0040521D"/>
    <w:rsid w:val="004109B5"/>
    <w:rsid w:val="004116BF"/>
    <w:rsid w:val="00415CD6"/>
    <w:rsid w:val="00416D1C"/>
    <w:rsid w:val="00420A5C"/>
    <w:rsid w:val="00424CD0"/>
    <w:rsid w:val="00430DF0"/>
    <w:rsid w:val="00435743"/>
    <w:rsid w:val="00435E0A"/>
    <w:rsid w:val="0043746B"/>
    <w:rsid w:val="00441A8E"/>
    <w:rsid w:val="00454E9A"/>
    <w:rsid w:val="00470295"/>
    <w:rsid w:val="004742B6"/>
    <w:rsid w:val="00483BD7"/>
    <w:rsid w:val="004948B2"/>
    <w:rsid w:val="00495995"/>
    <w:rsid w:val="004979E6"/>
    <w:rsid w:val="00497F96"/>
    <w:rsid w:val="004A1F49"/>
    <w:rsid w:val="004A599E"/>
    <w:rsid w:val="004A5AA3"/>
    <w:rsid w:val="004A6D93"/>
    <w:rsid w:val="004C179A"/>
    <w:rsid w:val="004C3144"/>
    <w:rsid w:val="004C4053"/>
    <w:rsid w:val="004D39D5"/>
    <w:rsid w:val="004D4081"/>
    <w:rsid w:val="004E0EBB"/>
    <w:rsid w:val="004E5BF3"/>
    <w:rsid w:val="004F1503"/>
    <w:rsid w:val="004F2D23"/>
    <w:rsid w:val="004F31A6"/>
    <w:rsid w:val="00504873"/>
    <w:rsid w:val="0050749F"/>
    <w:rsid w:val="005107F2"/>
    <w:rsid w:val="00516F43"/>
    <w:rsid w:val="00525C27"/>
    <w:rsid w:val="0053319B"/>
    <w:rsid w:val="0054256F"/>
    <w:rsid w:val="00547828"/>
    <w:rsid w:val="005543F9"/>
    <w:rsid w:val="005548F7"/>
    <w:rsid w:val="00554E4E"/>
    <w:rsid w:val="00560B64"/>
    <w:rsid w:val="00562D0F"/>
    <w:rsid w:val="00566748"/>
    <w:rsid w:val="00584172"/>
    <w:rsid w:val="0058602D"/>
    <w:rsid w:val="0058650A"/>
    <w:rsid w:val="00586EC3"/>
    <w:rsid w:val="0058730C"/>
    <w:rsid w:val="00596274"/>
    <w:rsid w:val="00597A67"/>
    <w:rsid w:val="005A3B17"/>
    <w:rsid w:val="005B24FC"/>
    <w:rsid w:val="005B4489"/>
    <w:rsid w:val="005B712E"/>
    <w:rsid w:val="005D3EF5"/>
    <w:rsid w:val="005D70A4"/>
    <w:rsid w:val="005D7788"/>
    <w:rsid w:val="005E10A1"/>
    <w:rsid w:val="005E2564"/>
    <w:rsid w:val="005E3C98"/>
    <w:rsid w:val="005E6A85"/>
    <w:rsid w:val="005F0B44"/>
    <w:rsid w:val="005F4CD6"/>
    <w:rsid w:val="005F7E46"/>
    <w:rsid w:val="00603076"/>
    <w:rsid w:val="00615478"/>
    <w:rsid w:val="00625C1A"/>
    <w:rsid w:val="00627A1B"/>
    <w:rsid w:val="0063147E"/>
    <w:rsid w:val="0063419A"/>
    <w:rsid w:val="00635213"/>
    <w:rsid w:val="00641DAE"/>
    <w:rsid w:val="00642BDB"/>
    <w:rsid w:val="00644C2E"/>
    <w:rsid w:val="00652F7D"/>
    <w:rsid w:val="00652FA2"/>
    <w:rsid w:val="006566A1"/>
    <w:rsid w:val="0066029B"/>
    <w:rsid w:val="0066292F"/>
    <w:rsid w:val="0067326E"/>
    <w:rsid w:val="00674270"/>
    <w:rsid w:val="00686724"/>
    <w:rsid w:val="00687F05"/>
    <w:rsid w:val="006910E0"/>
    <w:rsid w:val="006B6D87"/>
    <w:rsid w:val="006B7DA8"/>
    <w:rsid w:val="006C2401"/>
    <w:rsid w:val="006C39B6"/>
    <w:rsid w:val="006C530D"/>
    <w:rsid w:val="006C5879"/>
    <w:rsid w:val="006C6161"/>
    <w:rsid w:val="006D2E1F"/>
    <w:rsid w:val="006D4D73"/>
    <w:rsid w:val="006D68BE"/>
    <w:rsid w:val="006D7AF3"/>
    <w:rsid w:val="006D7B3F"/>
    <w:rsid w:val="006E0AEF"/>
    <w:rsid w:val="006E18EA"/>
    <w:rsid w:val="006E78B0"/>
    <w:rsid w:val="006F1774"/>
    <w:rsid w:val="007006E3"/>
    <w:rsid w:val="00701C07"/>
    <w:rsid w:val="007039F3"/>
    <w:rsid w:val="007071A3"/>
    <w:rsid w:val="00713C0B"/>
    <w:rsid w:val="00727983"/>
    <w:rsid w:val="00735898"/>
    <w:rsid w:val="007413F8"/>
    <w:rsid w:val="0074312F"/>
    <w:rsid w:val="007518AA"/>
    <w:rsid w:val="00753306"/>
    <w:rsid w:val="0075352E"/>
    <w:rsid w:val="00753833"/>
    <w:rsid w:val="00755175"/>
    <w:rsid w:val="00762A0C"/>
    <w:rsid w:val="0078161E"/>
    <w:rsid w:val="007905AC"/>
    <w:rsid w:val="007A0357"/>
    <w:rsid w:val="007B1AAD"/>
    <w:rsid w:val="007B3387"/>
    <w:rsid w:val="007B6CF6"/>
    <w:rsid w:val="007C7597"/>
    <w:rsid w:val="007D33B6"/>
    <w:rsid w:val="007D6514"/>
    <w:rsid w:val="007D6C26"/>
    <w:rsid w:val="007F4DAA"/>
    <w:rsid w:val="00800F4E"/>
    <w:rsid w:val="00804422"/>
    <w:rsid w:val="00804E24"/>
    <w:rsid w:val="00807071"/>
    <w:rsid w:val="00807CC1"/>
    <w:rsid w:val="00807D80"/>
    <w:rsid w:val="00811C45"/>
    <w:rsid w:val="0081201D"/>
    <w:rsid w:val="00813314"/>
    <w:rsid w:val="0082009A"/>
    <w:rsid w:val="00822FD2"/>
    <w:rsid w:val="00831C29"/>
    <w:rsid w:val="00832F5C"/>
    <w:rsid w:val="00840AE6"/>
    <w:rsid w:val="00841B88"/>
    <w:rsid w:val="008504F9"/>
    <w:rsid w:val="008610CE"/>
    <w:rsid w:val="0086287B"/>
    <w:rsid w:val="008633C5"/>
    <w:rsid w:val="00875253"/>
    <w:rsid w:val="008845CF"/>
    <w:rsid w:val="00885D71"/>
    <w:rsid w:val="00895E64"/>
    <w:rsid w:val="008A290F"/>
    <w:rsid w:val="008A3053"/>
    <w:rsid w:val="008A4000"/>
    <w:rsid w:val="008A6B32"/>
    <w:rsid w:val="008A7087"/>
    <w:rsid w:val="008B4EC4"/>
    <w:rsid w:val="008C2966"/>
    <w:rsid w:val="008C3176"/>
    <w:rsid w:val="008C3D9D"/>
    <w:rsid w:val="008C5D1B"/>
    <w:rsid w:val="008E2C74"/>
    <w:rsid w:val="008E3B0F"/>
    <w:rsid w:val="008E58CC"/>
    <w:rsid w:val="008E6379"/>
    <w:rsid w:val="008F022D"/>
    <w:rsid w:val="008F058D"/>
    <w:rsid w:val="008F1958"/>
    <w:rsid w:val="008F1A56"/>
    <w:rsid w:val="009128B8"/>
    <w:rsid w:val="00915A2E"/>
    <w:rsid w:val="009268BB"/>
    <w:rsid w:val="00934FF3"/>
    <w:rsid w:val="00944A91"/>
    <w:rsid w:val="00946D85"/>
    <w:rsid w:val="0095170E"/>
    <w:rsid w:val="009629F2"/>
    <w:rsid w:val="00964A0C"/>
    <w:rsid w:val="009650E4"/>
    <w:rsid w:val="009748AF"/>
    <w:rsid w:val="0097711C"/>
    <w:rsid w:val="00983E53"/>
    <w:rsid w:val="00985474"/>
    <w:rsid w:val="00994BBE"/>
    <w:rsid w:val="009A3E31"/>
    <w:rsid w:val="009A49E5"/>
    <w:rsid w:val="009A4FF1"/>
    <w:rsid w:val="009B3130"/>
    <w:rsid w:val="009B6D21"/>
    <w:rsid w:val="009B7498"/>
    <w:rsid w:val="009C0705"/>
    <w:rsid w:val="009D1088"/>
    <w:rsid w:val="009D4C93"/>
    <w:rsid w:val="009D5A83"/>
    <w:rsid w:val="009D7D61"/>
    <w:rsid w:val="009E2E5E"/>
    <w:rsid w:val="009E75E8"/>
    <w:rsid w:val="009E7997"/>
    <w:rsid w:val="009F4AEA"/>
    <w:rsid w:val="00A100BE"/>
    <w:rsid w:val="00A10F6D"/>
    <w:rsid w:val="00A13FA1"/>
    <w:rsid w:val="00A5676D"/>
    <w:rsid w:val="00A60D46"/>
    <w:rsid w:val="00A61D39"/>
    <w:rsid w:val="00A63488"/>
    <w:rsid w:val="00A6423F"/>
    <w:rsid w:val="00A72ACA"/>
    <w:rsid w:val="00A776BE"/>
    <w:rsid w:val="00A81FF2"/>
    <w:rsid w:val="00A954C2"/>
    <w:rsid w:val="00AA2BDA"/>
    <w:rsid w:val="00AA4B6C"/>
    <w:rsid w:val="00AB767C"/>
    <w:rsid w:val="00AC0BE2"/>
    <w:rsid w:val="00AC1E19"/>
    <w:rsid w:val="00AC4E40"/>
    <w:rsid w:val="00AE2C9B"/>
    <w:rsid w:val="00AE7C2E"/>
    <w:rsid w:val="00B0086B"/>
    <w:rsid w:val="00B04B20"/>
    <w:rsid w:val="00B103A4"/>
    <w:rsid w:val="00B10F2E"/>
    <w:rsid w:val="00B22C9A"/>
    <w:rsid w:val="00B232D1"/>
    <w:rsid w:val="00B247E1"/>
    <w:rsid w:val="00B31059"/>
    <w:rsid w:val="00B32DAF"/>
    <w:rsid w:val="00B518FE"/>
    <w:rsid w:val="00B51C37"/>
    <w:rsid w:val="00B56AB1"/>
    <w:rsid w:val="00B61738"/>
    <w:rsid w:val="00B72E3A"/>
    <w:rsid w:val="00B80F99"/>
    <w:rsid w:val="00B81874"/>
    <w:rsid w:val="00B821E3"/>
    <w:rsid w:val="00B84AED"/>
    <w:rsid w:val="00B901F6"/>
    <w:rsid w:val="00B96CE1"/>
    <w:rsid w:val="00BA1348"/>
    <w:rsid w:val="00BA184A"/>
    <w:rsid w:val="00BA6D83"/>
    <w:rsid w:val="00BB15E5"/>
    <w:rsid w:val="00BB6961"/>
    <w:rsid w:val="00BD1E2B"/>
    <w:rsid w:val="00BD6C7C"/>
    <w:rsid w:val="00BE07E3"/>
    <w:rsid w:val="00BE4117"/>
    <w:rsid w:val="00BF7D27"/>
    <w:rsid w:val="00C01BF6"/>
    <w:rsid w:val="00C049AD"/>
    <w:rsid w:val="00C04F44"/>
    <w:rsid w:val="00C066F3"/>
    <w:rsid w:val="00C14726"/>
    <w:rsid w:val="00C205FC"/>
    <w:rsid w:val="00C21A08"/>
    <w:rsid w:val="00C266A4"/>
    <w:rsid w:val="00C30751"/>
    <w:rsid w:val="00C36FF0"/>
    <w:rsid w:val="00C410CD"/>
    <w:rsid w:val="00C4447E"/>
    <w:rsid w:val="00C445D0"/>
    <w:rsid w:val="00C473A4"/>
    <w:rsid w:val="00C56928"/>
    <w:rsid w:val="00C60DC9"/>
    <w:rsid w:val="00C632B8"/>
    <w:rsid w:val="00C67191"/>
    <w:rsid w:val="00C7215C"/>
    <w:rsid w:val="00C74661"/>
    <w:rsid w:val="00C769CE"/>
    <w:rsid w:val="00C86896"/>
    <w:rsid w:val="00C87946"/>
    <w:rsid w:val="00C93655"/>
    <w:rsid w:val="00CB06DE"/>
    <w:rsid w:val="00CB6AA6"/>
    <w:rsid w:val="00CC1968"/>
    <w:rsid w:val="00CE1168"/>
    <w:rsid w:val="00CE3AF8"/>
    <w:rsid w:val="00CE53BD"/>
    <w:rsid w:val="00CE6158"/>
    <w:rsid w:val="00CE7D43"/>
    <w:rsid w:val="00CF135C"/>
    <w:rsid w:val="00CF4225"/>
    <w:rsid w:val="00CF6C73"/>
    <w:rsid w:val="00CF740A"/>
    <w:rsid w:val="00D0623E"/>
    <w:rsid w:val="00D06B2B"/>
    <w:rsid w:val="00D12A32"/>
    <w:rsid w:val="00D13876"/>
    <w:rsid w:val="00D15D8C"/>
    <w:rsid w:val="00D1661C"/>
    <w:rsid w:val="00D17902"/>
    <w:rsid w:val="00D20A67"/>
    <w:rsid w:val="00D2195D"/>
    <w:rsid w:val="00D22AB4"/>
    <w:rsid w:val="00D25577"/>
    <w:rsid w:val="00D276F0"/>
    <w:rsid w:val="00D3232D"/>
    <w:rsid w:val="00D3434E"/>
    <w:rsid w:val="00D50489"/>
    <w:rsid w:val="00D50BD1"/>
    <w:rsid w:val="00D538E0"/>
    <w:rsid w:val="00D570C3"/>
    <w:rsid w:val="00D61AE4"/>
    <w:rsid w:val="00D649E2"/>
    <w:rsid w:val="00D73FC2"/>
    <w:rsid w:val="00D80DE2"/>
    <w:rsid w:val="00D833EF"/>
    <w:rsid w:val="00D90321"/>
    <w:rsid w:val="00D9332F"/>
    <w:rsid w:val="00DA328A"/>
    <w:rsid w:val="00DA5E49"/>
    <w:rsid w:val="00DA6C5C"/>
    <w:rsid w:val="00DB0A0C"/>
    <w:rsid w:val="00DB6E29"/>
    <w:rsid w:val="00DC2F37"/>
    <w:rsid w:val="00DC4935"/>
    <w:rsid w:val="00DC4BB8"/>
    <w:rsid w:val="00DD27D5"/>
    <w:rsid w:val="00DD7B98"/>
    <w:rsid w:val="00DE1253"/>
    <w:rsid w:val="00DE4DAD"/>
    <w:rsid w:val="00DF4D49"/>
    <w:rsid w:val="00DF59A4"/>
    <w:rsid w:val="00E0514A"/>
    <w:rsid w:val="00E17557"/>
    <w:rsid w:val="00E17642"/>
    <w:rsid w:val="00E23AB8"/>
    <w:rsid w:val="00E23EE5"/>
    <w:rsid w:val="00E2751E"/>
    <w:rsid w:val="00E344D1"/>
    <w:rsid w:val="00E34E3E"/>
    <w:rsid w:val="00E374C3"/>
    <w:rsid w:val="00E54AF2"/>
    <w:rsid w:val="00E5737A"/>
    <w:rsid w:val="00E6245E"/>
    <w:rsid w:val="00E62F8F"/>
    <w:rsid w:val="00E6313D"/>
    <w:rsid w:val="00E66646"/>
    <w:rsid w:val="00E71718"/>
    <w:rsid w:val="00E763D2"/>
    <w:rsid w:val="00E80D43"/>
    <w:rsid w:val="00E82AF5"/>
    <w:rsid w:val="00E83686"/>
    <w:rsid w:val="00E84794"/>
    <w:rsid w:val="00E877EE"/>
    <w:rsid w:val="00E90906"/>
    <w:rsid w:val="00E9183B"/>
    <w:rsid w:val="00E927AF"/>
    <w:rsid w:val="00E95D5F"/>
    <w:rsid w:val="00E95E2B"/>
    <w:rsid w:val="00E97BE0"/>
    <w:rsid w:val="00EA060E"/>
    <w:rsid w:val="00EA1A06"/>
    <w:rsid w:val="00EA4CBB"/>
    <w:rsid w:val="00EA7E37"/>
    <w:rsid w:val="00EB4C32"/>
    <w:rsid w:val="00EB62C8"/>
    <w:rsid w:val="00EC35A5"/>
    <w:rsid w:val="00EC7693"/>
    <w:rsid w:val="00ED5678"/>
    <w:rsid w:val="00ED5C1C"/>
    <w:rsid w:val="00ED66C6"/>
    <w:rsid w:val="00ED7750"/>
    <w:rsid w:val="00EE030A"/>
    <w:rsid w:val="00EE28C0"/>
    <w:rsid w:val="00EE631E"/>
    <w:rsid w:val="00EE6EE8"/>
    <w:rsid w:val="00EF0FE6"/>
    <w:rsid w:val="00EF6800"/>
    <w:rsid w:val="00F0003C"/>
    <w:rsid w:val="00F007A1"/>
    <w:rsid w:val="00F041E8"/>
    <w:rsid w:val="00F14AC5"/>
    <w:rsid w:val="00F27B2C"/>
    <w:rsid w:val="00F41491"/>
    <w:rsid w:val="00F41953"/>
    <w:rsid w:val="00F454AB"/>
    <w:rsid w:val="00F52AEC"/>
    <w:rsid w:val="00F601A0"/>
    <w:rsid w:val="00F61C9A"/>
    <w:rsid w:val="00F7226C"/>
    <w:rsid w:val="00F73886"/>
    <w:rsid w:val="00F77C45"/>
    <w:rsid w:val="00F922D7"/>
    <w:rsid w:val="00F9385D"/>
    <w:rsid w:val="00F960AB"/>
    <w:rsid w:val="00FA7383"/>
    <w:rsid w:val="00FA7394"/>
    <w:rsid w:val="00FA76E7"/>
    <w:rsid w:val="00FC0984"/>
    <w:rsid w:val="00FD2918"/>
    <w:rsid w:val="00FE51BA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210F2F-1000-477B-A9DD-79CA5756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A8F"/>
    <w:pPr>
      <w:spacing w:line="360" w:lineRule="auto"/>
      <w:ind w:firstLine="709"/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imes New Roman" w:hAnsi="Times New Roman"/>
      <w:lang w:val="bg-BG"/>
    </w:rPr>
  </w:style>
  <w:style w:type="paragraph" w:styleId="BodyText2">
    <w:name w:val="Body Text 2"/>
    <w:basedOn w:val="Normal"/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641DAE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8504F9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bg-BG"/>
    </w:rPr>
  </w:style>
  <w:style w:type="character" w:customStyle="1" w:styleId="Bodytext0">
    <w:name w:val="Body text_"/>
    <w:link w:val="BodyText3"/>
    <w:rsid w:val="008504F9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BodyText3">
    <w:name w:val="Body Text3"/>
    <w:basedOn w:val="Normal"/>
    <w:link w:val="Bodytext0"/>
    <w:rsid w:val="008504F9"/>
    <w:pPr>
      <w:shd w:val="clear" w:color="auto" w:fill="FFFFFF"/>
      <w:spacing w:before="420" w:after="540" w:line="248" w:lineRule="exact"/>
      <w:ind w:hanging="400"/>
    </w:pPr>
    <w:rPr>
      <w:rFonts w:ascii="MS Reference Sans Serif" w:eastAsia="MS Reference Sans Serif" w:hAnsi="MS Reference Sans Serif" w:cs="MS Reference Sans Serif"/>
      <w:sz w:val="19"/>
      <w:szCs w:val="19"/>
      <w:lang w:val="bg-BG" w:eastAsia="bg-BG"/>
    </w:rPr>
  </w:style>
  <w:style w:type="paragraph" w:styleId="NoSpacing">
    <w:name w:val="No Spacing"/>
    <w:uiPriority w:val="1"/>
    <w:qFormat/>
    <w:rsid w:val="008504F9"/>
    <w:rPr>
      <w:rFonts w:ascii="Calibri" w:eastAsia="Calibri" w:hAnsi="Calibri"/>
      <w:sz w:val="22"/>
      <w:szCs w:val="22"/>
      <w:lang w:eastAsia="en-US"/>
    </w:rPr>
  </w:style>
  <w:style w:type="character" w:customStyle="1" w:styleId="mark">
    <w:name w:val="mark"/>
    <w:rsid w:val="00822FD2"/>
  </w:style>
  <w:style w:type="character" w:styleId="Strong">
    <w:name w:val="Strong"/>
    <w:uiPriority w:val="22"/>
    <w:qFormat/>
    <w:rsid w:val="007006E3"/>
    <w:rPr>
      <w:b/>
      <w:bCs/>
    </w:rPr>
  </w:style>
  <w:style w:type="character" w:styleId="CommentReference">
    <w:name w:val="annotation reference"/>
    <w:uiPriority w:val="99"/>
    <w:rsid w:val="00065E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5E85"/>
  </w:style>
  <w:style w:type="character" w:customStyle="1" w:styleId="CommentTextChar">
    <w:name w:val="Comment Text Char"/>
    <w:link w:val="CommentText"/>
    <w:uiPriority w:val="99"/>
    <w:rsid w:val="00065E8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65E85"/>
    <w:rPr>
      <w:b/>
      <w:bCs/>
    </w:rPr>
  </w:style>
  <w:style w:type="character" w:customStyle="1" w:styleId="CommentSubjectChar">
    <w:name w:val="Comment Subject Char"/>
    <w:link w:val="CommentSubject"/>
    <w:rsid w:val="00065E85"/>
    <w:rPr>
      <w:rFonts w:ascii="Arial" w:hAnsi="Arial"/>
      <w:b/>
      <w:bCs/>
      <w:lang w:val="en-US" w:eastAsia="en-US"/>
    </w:rPr>
  </w:style>
  <w:style w:type="paragraph" w:customStyle="1" w:styleId="BodyText1">
    <w:name w:val="Body Text1"/>
    <w:basedOn w:val="Normal"/>
    <w:rsid w:val="00762A0C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color w:val="000000"/>
      <w:sz w:val="23"/>
      <w:szCs w:val="23"/>
      <w:lang w:val="bg" w:eastAsia="bg-BG"/>
    </w:rPr>
  </w:style>
  <w:style w:type="character" w:customStyle="1" w:styleId="Bodytext5">
    <w:name w:val="Body text (5)_"/>
    <w:link w:val="Bodytext50"/>
    <w:rsid w:val="003467D0"/>
    <w:rPr>
      <w:sz w:val="23"/>
      <w:szCs w:val="23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467D0"/>
    <w:pPr>
      <w:shd w:val="clear" w:color="auto" w:fill="FFFFFF"/>
      <w:spacing w:line="0" w:lineRule="atLeast"/>
      <w:ind w:firstLine="0"/>
      <w:jc w:val="left"/>
    </w:pPr>
    <w:rPr>
      <w:rFonts w:ascii="Times New Roman" w:hAnsi="Times New Roman"/>
      <w:sz w:val="23"/>
      <w:szCs w:val="23"/>
      <w:lang w:val="bg-BG" w:eastAsia="bg-BG"/>
    </w:rPr>
  </w:style>
  <w:style w:type="character" w:customStyle="1" w:styleId="Bodytext30">
    <w:name w:val="Body text (3)_"/>
    <w:link w:val="Bodytext31"/>
    <w:rsid w:val="003C652C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3C652C"/>
    <w:pPr>
      <w:shd w:val="clear" w:color="auto" w:fill="FFFFFF"/>
      <w:spacing w:before="420" w:after="420" w:line="238" w:lineRule="exact"/>
      <w:ind w:hanging="480"/>
    </w:pPr>
    <w:rPr>
      <w:rFonts w:ascii="MS Reference Sans Serif" w:eastAsia="MS Reference Sans Serif" w:hAnsi="MS Reference Sans Serif" w:cs="MS Reference Sans Serif"/>
      <w:sz w:val="16"/>
      <w:szCs w:val="16"/>
      <w:lang w:val="bg-BG" w:eastAsia="bg-BG"/>
    </w:rPr>
  </w:style>
  <w:style w:type="paragraph" w:styleId="FootnoteText">
    <w:name w:val="footnote text"/>
    <w:basedOn w:val="Normal"/>
    <w:link w:val="FootnoteTextChar"/>
    <w:rsid w:val="0000079C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00079C"/>
    <w:rPr>
      <w:rFonts w:ascii="Arial" w:hAnsi="Arial"/>
      <w:lang w:val="en-US" w:eastAsia="en-US"/>
    </w:rPr>
  </w:style>
  <w:style w:type="character" w:styleId="FootnoteReference">
    <w:name w:val="footnote reference"/>
    <w:basedOn w:val="DefaultParagraphFont"/>
    <w:rsid w:val="0000079C"/>
    <w:rPr>
      <w:vertAlign w:val="superscript"/>
    </w:rPr>
  </w:style>
  <w:style w:type="paragraph" w:styleId="Revision">
    <w:name w:val="Revision"/>
    <w:hidden/>
    <w:uiPriority w:val="99"/>
    <w:semiHidden/>
    <w:rsid w:val="00B3105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4155-7893-4A8A-9F13-C5CA0968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glazarova</dc:creator>
  <cp:keywords/>
  <cp:lastModifiedBy>Кристиан Ставрев</cp:lastModifiedBy>
  <cp:revision>2</cp:revision>
  <cp:lastPrinted>2024-09-16T14:39:00Z</cp:lastPrinted>
  <dcterms:created xsi:type="dcterms:W3CDTF">2026-04-27T08:32:00Z</dcterms:created>
  <dcterms:modified xsi:type="dcterms:W3CDTF">2026-04-27T08:32:00Z</dcterms:modified>
</cp:coreProperties>
</file>