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63" w:rsidRDefault="00076E63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9D4DA5" w:rsidRPr="003B24AC" w:rsidTr="009D4DA5">
        <w:trPr>
          <w:trHeight w:val="309"/>
        </w:trPr>
        <w:tc>
          <w:tcPr>
            <w:tcW w:w="4467" w:type="dxa"/>
          </w:tcPr>
          <w:p w:rsidR="009D4DA5" w:rsidRPr="009D4DA5" w:rsidRDefault="00FE55C5" w:rsidP="009D4DA5">
            <w:pPr>
              <w:rPr>
                <w:rFonts w:ascii="Century" w:hAnsi="Century"/>
                <w:b/>
              </w:rPr>
            </w:pPr>
            <w:r>
              <w:rPr>
                <w:rFonts w:ascii="Century" w:hAnsi="Century"/>
                <w:b/>
              </w:rPr>
              <w:t>Образецът н</w:t>
            </w:r>
            <w:r w:rsidR="009D4DA5" w:rsidRPr="009D4DA5">
              <w:rPr>
                <w:rFonts w:ascii="Century" w:hAnsi="Century"/>
                <w:b/>
              </w:rPr>
              <w:t>а частична предварителна оценка на въздействието влиза в сила от 01 януари 2021 г.</w:t>
            </w:r>
          </w:p>
        </w:tc>
      </w:tr>
    </w:tbl>
    <w:p w:rsidR="009D4DA5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9D4DA5" w:rsidRPr="00076E63" w:rsidRDefault="009D4DA5" w:rsidP="00076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</w:p>
    <w:tbl>
      <w:tblPr>
        <w:tblW w:w="102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43"/>
        <w:gridCol w:w="5216"/>
        <w:gridCol w:w="7"/>
      </w:tblGrid>
      <w:tr w:rsidR="00076E63" w:rsidRPr="003B24AC" w:rsidTr="00C93DF1">
        <w:tc>
          <w:tcPr>
            <w:tcW w:w="10266" w:type="dxa"/>
            <w:gridSpan w:val="3"/>
            <w:shd w:val="clear" w:color="auto" w:fill="D9D9D9"/>
          </w:tcPr>
          <w:p w:rsidR="00076E63" w:rsidRPr="00FE55C5" w:rsidRDefault="00FE55C5" w:rsidP="00076E6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Частична предварителна оценка на въздействието</w:t>
            </w:r>
          </w:p>
        </w:tc>
      </w:tr>
      <w:tr w:rsidR="00076E63" w:rsidRPr="003B24AC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Институция:</w:t>
            </w:r>
          </w:p>
          <w:p w:rsidR="00076E63" w:rsidRPr="00076E63" w:rsidRDefault="00554AFF" w:rsidP="00050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Министерство на енергетиката</w:t>
            </w:r>
          </w:p>
        </w:tc>
        <w:tc>
          <w:tcPr>
            <w:tcW w:w="5216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Нормативен акт:</w:t>
            </w:r>
          </w:p>
          <w:p w:rsidR="00076E63" w:rsidRPr="00076E63" w:rsidRDefault="00D76EDC" w:rsidP="00E9592A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 на Постановление </w:t>
            </w:r>
            <w:r w:rsidR="00E07F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изменение и допълнение на Постановление № 237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 Министерския съвет </w:t>
            </w:r>
            <w:r w:rsidR="00E07F8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от 2025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</w:t>
            </w:r>
            <w:r w:rsidR="0049667A" w:rsidRP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определяне на условията и редът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  <w:r w:rsidR="00CC73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</w:p>
        </w:tc>
      </w:tr>
      <w:tr w:rsidR="00076E63" w:rsidRPr="00076E63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076E63" w:rsidRDefault="006307EC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pict w14:anchorId="4337ED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9pt;height:40.3pt">
                  <v:imagedata r:id="rId10" o:title=""/>
                </v:shape>
              </w:pict>
            </w:r>
          </w:p>
        </w:tc>
        <w:tc>
          <w:tcPr>
            <w:tcW w:w="5216" w:type="dxa"/>
          </w:tcPr>
          <w:p w:rsidR="00076E63" w:rsidRPr="00076E63" w:rsidRDefault="006307EC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GB"/>
              </w:rPr>
              <w:pict w14:anchorId="53AA5392">
                <v:shape id="_x0000_i1026" type="#_x0000_t75" style="width:203.9pt;height:38.6pt">
                  <v:imagedata r:id="rId11" o:title=""/>
                </v:shape>
              </w:pict>
            </w:r>
          </w:p>
          <w:p w:rsidR="00076E63" w:rsidRPr="00076E63" w:rsidRDefault="00076E63" w:rsidP="00076E63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b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lang w:val="bg-BG"/>
              </w:rPr>
              <w:t>………………………………………………</w:t>
            </w:r>
          </w:p>
        </w:tc>
      </w:tr>
      <w:tr w:rsidR="00076E63" w:rsidRPr="003B24AC" w:rsidTr="00C93DF1">
        <w:trPr>
          <w:gridAfter w:val="1"/>
          <w:wAfter w:w="7" w:type="dxa"/>
        </w:trPr>
        <w:tc>
          <w:tcPr>
            <w:tcW w:w="5043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Лице за контакт:</w:t>
            </w:r>
          </w:p>
          <w:p w:rsidR="00076E63" w:rsidRDefault="00321B07" w:rsidP="00CC736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Александър Давидов, началник на отдел „Енергийни политики и стратегия“</w:t>
            </w:r>
            <w:r w:rsidR="000C1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0C1DAD" w:rsidRPr="000C1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дирекция „Енергийни стратегии и политики за устойчиво енергийно развитие“</w:t>
            </w:r>
            <w:r w:rsidR="00E959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CC736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МЕ</w:t>
            </w:r>
          </w:p>
          <w:p w:rsidR="00321B07" w:rsidRPr="00076E63" w:rsidRDefault="00321B07" w:rsidP="00CC7367">
            <w:pPr>
              <w:tabs>
                <w:tab w:val="left" w:pos="1180"/>
                <w:tab w:val="left" w:pos="2300"/>
                <w:tab w:val="left" w:pos="2740"/>
                <w:tab w:val="left" w:pos="4480"/>
              </w:tabs>
              <w:spacing w:after="0" w:line="28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Гергана Лазарова, главен експерт в отдел „Енергийни политики и стратегия“</w:t>
            </w:r>
            <w:r w:rsidR="000C1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</w:t>
            </w:r>
            <w:r w:rsidR="000C1DAD" w:rsidRPr="000C1DAD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дирекция „Енергийни стратегии и политики за устойчиво енергийно развитие“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МЕ</w:t>
            </w:r>
          </w:p>
        </w:tc>
        <w:tc>
          <w:tcPr>
            <w:tcW w:w="5216" w:type="dxa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  <w:r w:rsidR="0060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ел. поща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D76EDC" w:rsidRDefault="00D76EDC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</w:t>
            </w:r>
            <w:r w:rsidR="00E9592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</w:t>
            </w:r>
            <w:r w:rsidR="0036013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263 </w:t>
            </w:r>
            <w:r w:rsidR="00321B07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134</w:t>
            </w:r>
          </w:p>
          <w:p w:rsidR="00321B07" w:rsidRPr="00321B07" w:rsidRDefault="00321B07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029263 207</w:t>
            </w:r>
          </w:p>
          <w:p w:rsidR="00076E63" w:rsidRPr="000506A6" w:rsidRDefault="007329A7" w:rsidP="0036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CISAF</w:t>
            </w:r>
            <w:r w:rsidR="00321B07" w:rsidRPr="000506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r w:rsidR="0036013C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E9592A" w:rsidRPr="000506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9592A" w:rsidRPr="00E9592A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</w:t>
            </w:r>
            <w:r w:rsidR="00E9592A" w:rsidRPr="000506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9592A" w:rsidRPr="00E9592A">
              <w:rPr>
                <w:rFonts w:ascii="Times New Roman" w:eastAsia="Times New Roman" w:hAnsi="Times New Roman" w:cs="Times New Roman"/>
                <w:sz w:val="24"/>
                <w:szCs w:val="24"/>
              </w:rPr>
              <w:t>bg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1. 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Проблем/</w:t>
            </w:r>
            <w:r w:rsidR="009D4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проблем</w:t>
            </w:r>
            <w:r w:rsidR="0011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 за решаване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</w:p>
          <w:p w:rsidR="006030A7" w:rsidRDefault="00EC2321" w:rsidP="00EC232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Неконкурентна</w:t>
            </w:r>
            <w:r w:rsidRPr="00EC2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цена на електрическата енергия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енергоемките потребители в страната, поради наблюдаваните </w:t>
            </w:r>
            <w:r w:rsidRPr="00EC23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значителни разлики в цените между пазарните зони в Югоизточна и Централна Европа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6030A7" w:rsidRPr="00076E63" w:rsidRDefault="006030A7" w:rsidP="006030A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1.1. Кратко опишете проблема/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 и причините за неговото/тяхното възникване. По възможност посочете числови стойности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:rsidR="00F9466E" w:rsidRDefault="00EC2321" w:rsidP="000546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C23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По отношение на цените на електрическата енергия в Европейския съюз за небитовите клиенти и мястото на България спрямо останалите държави-членки, следва да се подчертае, че съгласно публично наличните данни на Евростат, цените на електрическата енергия в страната са близки до средните за ЕС в периода 2017-2021 г. В периода от края на 2021 и през 2022 г. се наблюдаваше сериозна волатилност на пазарите на електрическа енергия в целия ЕС и в тази връзка на национално ниво бяха разработени и се прилагаха компенсаторни механизми за всички небитови крайни клиенти. </w:t>
            </w:r>
            <w:r w:rsidR="0005461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 отношение на</w:t>
            </w:r>
            <w:r w:rsidRPr="00EC23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средните и големи предприятия (с годишно потребление от 2 GWh до 20 GWh)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през </w:t>
            </w:r>
            <w:r w:rsidRPr="00EC23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2023 г. цените на електрическата енергия в България са сравнително близки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средните за ЕС</w:t>
            </w:r>
            <w:r w:rsidRPr="00EC232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</w:t>
            </w:r>
            <w:r w:rsidR="00054619" w:rsidRPr="0005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ъществено повишаване на цените на организиран борсов пазар </w:t>
            </w:r>
            <w:r w:rsidR="00A0149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р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егиона 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започна да се наблюдава отново </w:t>
            </w:r>
            <w:r w:rsidR="00054619" w:rsidRPr="00054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лятото на 2024 г., 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като </w:t>
            </w:r>
            <w:r w:rsidR="0083322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се наблюдават </w:t>
            </w:r>
            <w:r w:rsidR="00722C3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и </w:t>
            </w:r>
            <w:r w:rsidR="00833223" w:rsidRPr="0083322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значителни разлики в цените между пазарните зони в Югоизточна и Централна Европа</w:t>
            </w:r>
            <w:r w:rsidR="0083322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</w:p>
          <w:p w:rsidR="00486915" w:rsidRDefault="00486915" w:rsidP="000546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Паралелно с описаните тенденции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 унисон с последните приети общностни актове в областта на насърчаване на конкурентоспособността, в т.ч. в областта на държавните помощи (вкл. Omnibus package, Competitiveness Compass,  Affordable Energy Action Plan (COM/2025/</w:t>
            </w:r>
            <w:r w:rsidR="007E02F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  и др.)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Ев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оп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йската комисия прие 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Съобщение на Комисията C(2025) </w:t>
            </w:r>
            <w:r w:rsidR="00041C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3602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25.06.2025 г.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(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OJ </w:t>
            </w:r>
            <w:r w:rsidR="00041C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04.07.2025 г.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</w:t>
            </w:r>
            <w:r w:rsidR="00041C5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„Рамка за мерки за държавна помощ в подкрепа на Пакта за чиста промишленост (рамка за държавна помощ във връзка с Пакта за чиста промишленост – Рамката/CISAF)“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1349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Рамката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съпътства Пакта за чиста промишленост</w:t>
            </w:r>
            <w:r w:rsidR="001640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който предоставя </w:t>
            </w:r>
            <w:r w:rsidR="001640D2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всеобхватна стратегия за растеж за конкурентоспособна, устойчива и декарбонизирана промишленост в Съюза, като предлага възможности за инвеститорите и допринася за социалното сближаване и равнопоставеността във всички региони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="001349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1640D2" w:rsidRPr="001640D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CISAF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определя</w:t>
            </w:r>
            <w:r w:rsidR="00507DDB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как държавите членки могат да разработват мерки за държавна помощ в подкрепа на своите цели, свързани с Пакта за чиста промишленост</w:t>
            </w:r>
            <w:r w:rsid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486915" w:rsidRPr="00486915" w:rsidRDefault="00486915" w:rsidP="004869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Мерките, очертани в Пакта за чиста промишленост, ще трансформират икономиката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съответствие с амбициозните цели на ЕС в областта на климата.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Очаква се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промишлените отрасли в рамките на </w:t>
            </w:r>
            <w:r w:rsidR="001349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да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продължат да имат по-високи разходи в сравнение с конкурентите в юрисдикции с по-малко амбициозни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политики в областта на климата.</w:t>
            </w:r>
          </w:p>
          <w:p w:rsidR="00486915" w:rsidRDefault="00486915" w:rsidP="004869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Тази ситуация създава особени предизвикателства за секторите, които са особено изложени на международната търговия и са силно зависими от 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цената на електрическата енергия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създаване на ст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ойност. Високите цени на електрическата енергия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увеличават риска тези сектори да преместят производството извън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места, където няма нормативна уредба за околната среда или целите в тази област не са толкова амбициозни. Освен 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това високите разходи за електрическа 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енергия могат да </w:t>
            </w:r>
            <w:r w:rsidR="001349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намалят амбициите, свързани с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електрификацията на производствените процеси, което е от основно значение за успешната декарбонизация на икономиката на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ЕС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За да </w:t>
            </w:r>
            <w:r w:rsidR="001349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бъдат смекчени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тези рискове и неблагоприятните въздействия върху околната среда,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 </w:t>
            </w:r>
            <w:r w:rsidR="00542822" w:rsidRPr="00507DD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CISAF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 очертана възможност за предоставяне на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временно облекчение на цената н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 електрическата енергия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предприятията</w:t>
            </w:r>
            <w:r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извършващи дейност в съответните икономически сектори.</w:t>
            </w:r>
          </w:p>
          <w:p w:rsidR="007C77B4" w:rsidRDefault="007C77B4" w:rsidP="0048691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 връзка с критичната необходимост от разработване и прилагане на справедлив подход за подкрепа, предвид приетото Съобщение на Комисията C/2025/3602 от 25.06.2025 г. (OJ/04.07.2025) и с оглед осъществен обмен със службите на ЕК по нотифицираната схема SA.120414(2025/N) във връзка с приетото Постановление № 237 на Министерския съвет от 2025 г. (ПМС 237/2025), бе установена необходимостта от прецизиране на ПМС 237/2025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7C77B4" w:rsidRP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Предложените изменения са свързани с: </w:t>
            </w:r>
          </w:p>
          <w:p w:rsidR="007C77B4" w:rsidRP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486DC8" w:rsidRPr="00486D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прецизиране на реда за доказване на допустимото количество електрическа енергия от предприятията-бенефициери при изплащане на компенсации на предприятия, които осъществяват както допустими икономически дейности (извършващи икономическа дейност в сектори изложени на значителен риск, посочени в Приложение № 1 към Насоките на ЕК относно държавната помощ в областта на климата, опазването на околната среда и енергетиката от 2022 г.), така и дейности, попадащи извън обхвата на подкрепа (и начинът за доказване на разпределението на разходите по дейности – допустими и недопустими)</w:t>
            </w: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;  </w:t>
            </w:r>
          </w:p>
          <w:p w:rsidR="007C77B4" w:rsidRP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определяне на прогнозен бюджет за целия период на действие на схемата;</w:t>
            </w:r>
          </w:p>
          <w:p w:rsidR="007C77B4" w:rsidRP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 прецизиране на условията и реда за обмен на информация между доставчиците на електрическа енергия, Фонд „Сигурност на електроенергийната система“ и Министерството на енергетиката (по отношение на изплащането на ежемесечни компенсации);</w:t>
            </w:r>
          </w:p>
          <w:p w:rsid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486DC8" w:rsidRPr="00486D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прецизиране на използваната терминология и осигуряване на прозрачност чрез регулярно публикуване на информация за размера на получените компенсации от предприятията-бенефициери и вида на инвестициите (задължителен насрещен ангажимент при получаване на подкрепа по настоящата схема)</w:t>
            </w: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86DC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7C77B4" w:rsidRDefault="007C77B4" w:rsidP="007C77B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В останалата си част ПМС 237/2025 остава непроменено и предприятията ще могат да се възползват от схемата за подкрепа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 при спазване кумулативно на условията по ПМС 237/2025.</w:t>
            </w:r>
          </w:p>
          <w:p w:rsidR="00545DF0" w:rsidRDefault="00545DF0" w:rsidP="00B35B3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545DF0" w:rsidRDefault="00545DF0" w:rsidP="00545D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Проблемът не може да се реши в рамките на съществуващата нормативна уредба чрез промяна в организацията на работа и/или чрез въвеждане на нови технологични възможности.</w:t>
            </w:r>
          </w:p>
          <w:p w:rsidR="00545DF0" w:rsidRDefault="00545DF0" w:rsidP="00545DF0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1.3. Посочете защо действащата нормативна рамка не позволява решаване на проблем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ите.</w:t>
            </w:r>
          </w:p>
          <w:p w:rsidR="00B63186" w:rsidRDefault="0049667A" w:rsidP="00F82B9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 постановлението 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изменение и допълнение на </w:t>
            </w:r>
            <w:r w:rsidR="007C77B4" w:rsidRP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ПМС 237/2025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определяне на условията и ред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  <w:r w:rsidR="00B6318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се създават права и задължения както за административни органи, така и на неограничен кръг частно-правни субекти.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3679E4" w:rsidRDefault="003679E4" w:rsidP="003679E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1.4. Посочете задължителните действия, произтичащи от нормативни актове от по-висока степен или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актове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от правото на ЕС.</w:t>
            </w:r>
          </w:p>
          <w:p w:rsidR="003679E4" w:rsidRDefault="003679E4" w:rsidP="00367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е необходимо предприемане на задължителни действия, произтичащи от нормативни актове от по-висока степен.</w:t>
            </w:r>
          </w:p>
          <w:p w:rsidR="003679E4" w:rsidRPr="00545DF0" w:rsidRDefault="003679E4" w:rsidP="00367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се налагат действия, произтичащи от актове от правото на ЕС.</w:t>
            </w:r>
          </w:p>
          <w:p w:rsidR="00545DF0" w:rsidRPr="006030A7" w:rsidRDefault="003679E4" w:rsidP="00545DF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1.5. Посочете дали са извършени последващи оценки на нормативния акт или анализи за изпълнението на политиката и какви са резултатите от тях?</w:t>
            </w:r>
          </w:p>
          <w:p w:rsidR="00076E63" w:rsidRPr="00076E63" w:rsidRDefault="003679E4" w:rsidP="0064001E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е извършвана последваща оценка на въздействието на нормативния акт.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2. Цели:</w:t>
            </w:r>
          </w:p>
          <w:p w:rsidR="00FE540A" w:rsidRPr="00FE540A" w:rsidRDefault="00FE540A" w:rsidP="00FE540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Обща цел</w:t>
            </w:r>
            <w:r w:rsidR="00B35B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: </w:t>
            </w:r>
            <w:r w:rsidR="00631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Прилагане на мярка за </w:t>
            </w:r>
            <w:r w:rsidR="006317C6" w:rsidRPr="00631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временно облекчение на цените на електроенергията за енергоемките потребители</w:t>
            </w:r>
          </w:p>
          <w:p w:rsidR="003045F0" w:rsidRDefault="00542822" w:rsidP="00FE540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редоставяне на компенсации, представляващи помощ за временно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облекчение на цените на електрическата енергия</w:t>
            </w:r>
            <w:r w:rsidRP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в съответствие с изискванията на т. 4.5. Временно облекчение на цените на електроенергията за енергоемките потребители от „Рамката за мерки за държавна помощ в подкрепа на Пакта за чиста промишленост  (рамка за държавна помощ във връзка с Пакта за чиста промишленост – Рамката/CISAF)“ - Съобщение на Комисията C(2025) 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3602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25.06.2025 г.</w:t>
            </w:r>
            <w:r w:rsidRPr="00542822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</w:rPr>
              <w:t>(OJ/</w:t>
            </w:r>
            <w:r w:rsidR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04.07.2025г.</w:t>
            </w:r>
            <w:r w:rsidR="007C77B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D877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877BE" w:rsidRPr="00D877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три последователни ценови периода, започващи от 1 юли 2025 г., с общ индикативен бюджет за целия период на схемата в размер на 334 млн. €, от които – 124 млн. € за първия ценови период.</w:t>
            </w:r>
            <w:r w:rsidR="00D877B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D454AB" w:rsidRPr="00542822" w:rsidDel="00D454A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FE540A" w:rsidRPr="00FE540A" w:rsidRDefault="00FE540A" w:rsidP="00FE540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E5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Специфични цели</w:t>
            </w:r>
          </w:p>
          <w:p w:rsidR="00FE540A" w:rsidRPr="00FE540A" w:rsidRDefault="00B35B35" w:rsidP="00DC56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35B3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B35B3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: </w:t>
            </w:r>
            <w:r w:rsid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Запазване на конкурентоспособността на българските предприятия чрез прилагане на </w:t>
            </w:r>
            <w:r w:rsidR="00486915"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мярка за временно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облекчение на цените на електрическата енергия</w:t>
            </w:r>
            <w:r w:rsidR="00486915"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за </w:t>
            </w:r>
            <w:r w:rsidR="00973D75" w:rsidRP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предприятия, за които е налице значителен риск на секторно равнище от преместване на дейности извън 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Европейския съюз</w:t>
            </w:r>
            <w:r w:rsidR="00973D75" w:rsidRP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към места</w:t>
            </w:r>
            <w:r w:rsidR="0049667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="00973D75" w:rsidRP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където няма мерки за опазване на околната среда или целите в тази област не са толкова амбициозни. Такива предприятия съгласно т.4.5.2 (116) от Рамката са предприятията 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</w:t>
            </w:r>
            <w:r w:rsid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среда и енергетиката от 2022 г</w:t>
            </w:r>
            <w:r w:rsidR="00FE540A" w:rsidRPr="00FE540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:rsidR="00FE540A" w:rsidRPr="00FE540A" w:rsidRDefault="00B35B35" w:rsidP="00DC563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Цел </w:t>
            </w:r>
            <w:r w:rsidR="00FE540A" w:rsidRPr="00FE540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Принос към целите за декарбонизация на индустрията чрез ангажимент </w:t>
            </w:r>
            <w:r w:rsidR="00486915" w:rsidRP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намаляване на разходите на електроенергийната система, отразявайки нуждите на пазара и системата, без да водят до увеличаване на потреблението на изкопаеми горива</w:t>
            </w:r>
            <w:r w:rsid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чрез ангажимент за допустимите предприятия да </w:t>
            </w:r>
            <w:r w:rsidR="00973D75" w:rsidRP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вложат най-малко 50% от размера на получените компенсации за инвестиции в нови или модернизирани активи, за които инвестиции може измеримо да се докаже, че имат допълнителен принос за намаляване на разходите на електроенергийната система, отразявайки </w:t>
            </w:r>
            <w:r w:rsidR="00973D75" w:rsidRP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нуждите на пазара и системата, без да водят до увеличаване на потреблението на изкопаеми горива</w:t>
            </w:r>
            <w:r w:rsidR="00973D7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="0048691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76E63" w:rsidRPr="00076E63" w:rsidRDefault="00076E63" w:rsidP="00FE540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определените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цели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за решаване на 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, по възможно най-конкретен и измерим начин, включително индикативен график за тяхното постигане. Целите е необходимо да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са насочени към решаването на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а/</w:t>
            </w:r>
            <w:r w:rsidR="009D4DA5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 да съответстват на действащ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ите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стратегическ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 документи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3. </w:t>
            </w:r>
            <w:r w:rsidR="007108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  <w:r w:rsidR="00E65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страни: </w:t>
            </w:r>
          </w:p>
          <w:p w:rsidR="00076E63" w:rsidRPr="00FD3F51" w:rsidRDefault="00FD3F51" w:rsidP="00FD3F5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FD3F5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редприятията 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 среда и енергетиката от 2022 г.</w:t>
            </w:r>
            <w:r w:rsidR="00E93340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Фонд „Сигурност на електроенергийната система“, доставчиците на електрическа енергия.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76E63" w:rsidRPr="00076E63" w:rsidRDefault="00076E63" w:rsidP="009D4DA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всички потенциални за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интересовани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страни/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груп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60089B" w:rsidRP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заинтересовани страни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(в рамките на процеса по извършване на частичната предварителна частична оценка на въздействието</w:t>
            </w:r>
            <w:r w:rsidR="00E653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и/или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при обществените консултации по чл. 26 от Закона за нормативните актове), върху които предложени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я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т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ще окаж</w:t>
            </w:r>
            <w:r w:rsidR="0060089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ат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органи/общини и др.).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 Варианти на действие. Анализ на въздействията:</w:t>
            </w:r>
          </w:p>
        </w:tc>
      </w:tr>
      <w:tr w:rsidR="00042D08" w:rsidRPr="003B24AC" w:rsidTr="00C93DF1">
        <w:tc>
          <w:tcPr>
            <w:tcW w:w="10266" w:type="dxa"/>
            <w:gridSpan w:val="3"/>
          </w:tcPr>
          <w:p w:rsidR="00042D08" w:rsidRPr="00C93DF1" w:rsidRDefault="00042D08" w:rsidP="00C22FE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4.1. По проблем 1:</w:t>
            </w:r>
            <w:r w:rsidR="00024A42" w:rsidRPr="000506A6">
              <w:rPr>
                <w:lang w:val="ru-RU"/>
              </w:rPr>
              <w:t xml:space="preserve"> </w:t>
            </w:r>
            <w:r w:rsidR="00C22FEA" w:rsidRPr="00C22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="004F7F13" w:rsidRPr="004F7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Неконкурентна цена на електрическата енергия за енергоемките потребители в страната, поради наблюдаваните значителни разлики в цените между пазарните зони в Югоизточна и Централна Европа</w:t>
            </w:r>
            <w:r w:rsidR="00C22FEA" w:rsidRPr="00C22F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“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1F392A" w:rsidRDefault="00076E63" w:rsidP="001F392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</w:t>
            </w:r>
            <w:r w:rsidR="00042D08" w:rsidRPr="001F39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 </w:t>
            </w:r>
            <w:r w:rsidRPr="001F392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„Без действие“:</w:t>
            </w:r>
          </w:p>
          <w:p w:rsidR="00DC563F" w:rsidRPr="001F392A" w:rsidRDefault="00DC563F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Описание:</w:t>
            </w:r>
            <w:r w:rsidR="004F7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4F7F13" w:rsidRDefault="00DC563F" w:rsidP="001F3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неприемане на проекта на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A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за изменение и допълнение на 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</w:t>
            </w:r>
            <w:r w:rsidR="003A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486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3A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237 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Министерския съвет</w:t>
            </w:r>
            <w:r w:rsidR="003A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2025 г.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r w:rsidR="0049667A" w:rsidRPr="004966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определяне на условията и ред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9667A" w:rsidRPr="004966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енергоинтензивните предприятия ще бъдат изложени на значителен риск от волатилността на пазара на електрическа енергия, поради регионалните специфики, описани по-горе, и могат да изгубят своите позиции, тъй като </w:t>
            </w:r>
            <w:r w:rsid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посочените предприятия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7F13" w:rsidRP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 почти изцяло експортно ориентирани </w:t>
            </w:r>
            <w:r w:rsid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F7F13" w:rsidRP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 70 и 100% от</w:t>
            </w:r>
            <w:r w:rsid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произведената продукция е за външен</w:t>
            </w:r>
            <w:r w:rsid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пазар, основно в рамките на ЕС). </w:t>
            </w:r>
            <w:r w:rsidR="004F7F13" w:rsidRPr="004F7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C563F" w:rsidRPr="00832FA7" w:rsidRDefault="00DC563F" w:rsidP="001F39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Положителни въздействия (икономически / социални / екологични):</w:t>
            </w:r>
          </w:p>
          <w:p w:rsidR="00DC563F" w:rsidRPr="001F392A" w:rsidRDefault="00DC563F" w:rsidP="001F3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 се очакват положителни въздействия</w:t>
            </w:r>
            <w:r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прилагането на варианта „Без действие“.</w:t>
            </w:r>
          </w:p>
          <w:p w:rsidR="00DC563F" w:rsidRPr="001F392A" w:rsidRDefault="00DC563F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Отрицателни въздействия:</w:t>
            </w:r>
          </w:p>
          <w:p w:rsidR="005A4E91" w:rsidRDefault="005A4E91" w:rsidP="004966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нергоинтензивните предприятия ще бъдат изложени на значителен риск от волатилността на пазара на електрическа енергия, поради регионалните специфики, описани по-горе, и могат да изгубят своите позиции, тъй като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посочените предприятия</w:t>
            </w:r>
            <w:r w:rsidRP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са почти изцяло експортно ориентирани (между 70 и 100% от произведената продукция е за външен пазар, основно в рамките на ЕС).  </w:t>
            </w:r>
          </w:p>
          <w:p w:rsidR="00DC563F" w:rsidRPr="00832FA7" w:rsidRDefault="00DC563F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Специфични въздействия</w:t>
            </w:r>
            <w:r w:rsid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DC563F" w:rsidRPr="00832FA7" w:rsidRDefault="00DC563F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Въздействия върху малките и средните предприятия (МСП):</w:t>
            </w:r>
          </w:p>
          <w:p w:rsidR="00DC563F" w:rsidRPr="001F392A" w:rsidRDefault="005A4E91" w:rsidP="004966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DC563F"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чаква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 </w:t>
            </w:r>
            <w:r w:rsidR="00DC563F"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пряко въздействие върху МСП</w:t>
            </w:r>
            <w:r w:rsidR="00DC563F"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извършващи икономически дейности в секторите </w:t>
            </w:r>
            <w:r w:rsidRP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 и енергетиката от 2022 г</w:t>
            </w:r>
            <w:r w:rsidR="00DC563F"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32FA7" w:rsidRDefault="00DC563F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Административна тежест:</w:t>
            </w:r>
          </w:p>
          <w:p w:rsidR="00832FA7" w:rsidRDefault="00DC563F" w:rsidP="001F392A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="00832F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яма</w:t>
            </w:r>
          </w:p>
          <w:p w:rsidR="00076E63" w:rsidRPr="001F392A" w:rsidRDefault="0078311F" w:rsidP="00F82B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1.1. </w:t>
            </w:r>
            <w:r w:rsidR="00076E63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ючително</w:t>
            </w:r>
            <w:r w:rsidR="00076E63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</w:t>
            </w:r>
            <w:r w:rsidR="00E653D3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върху всяка заинтересована страна/група заинтересовани страни</w:t>
            </w:r>
            <w:r w:rsidR="00076E63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. Пояснете кои въздействия се очаква да бъдат значителни и кои второстепенни.</w:t>
            </w:r>
          </w:p>
          <w:p w:rsidR="00F04B4E" w:rsidRPr="001F392A" w:rsidRDefault="0078311F" w:rsidP="00F82B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1.2. </w:t>
            </w:r>
            <w:r w:rsidR="00F04B4E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E44DE0" w:rsidRPr="00832FA7" w:rsidRDefault="00E44DE0" w:rsidP="001F392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2FA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Вариант 2 „ </w:t>
            </w:r>
            <w:r w:rsidR="00FD7B23" w:rsidRPr="00832FA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Приемане на предложения проект на акт</w:t>
            </w:r>
            <w:r w:rsidRPr="00832FA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  <w:p w:rsidR="00E44DE0" w:rsidRPr="00832FA7" w:rsidRDefault="00E44DE0" w:rsidP="001F392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32FA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Описание:</w:t>
            </w:r>
          </w:p>
          <w:p w:rsidR="005E64B4" w:rsidRPr="005E64B4" w:rsidRDefault="00A5310A" w:rsidP="005E64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Вариант 2 предвижда </w:t>
            </w: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изработването, приемането и прилагането на</w:t>
            </w:r>
            <w:r w:rsidR="003A5C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3A5C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за изменение и допълнение на</w:t>
            </w: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49667A" w:rsidRPr="00496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Постановление </w:t>
            </w:r>
            <w:r w:rsidR="003A5C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№ 237 </w:t>
            </w:r>
            <w:r w:rsidR="0049667A" w:rsidRPr="00496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Министерския съвет</w:t>
            </w:r>
            <w:r w:rsidR="003A5C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от 2025 г.</w:t>
            </w:r>
            <w:r w:rsidR="0049667A" w:rsidRPr="00496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определяне на условията и ред</w:t>
            </w:r>
            <w:r w:rsidR="005E64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="0049667A" w:rsidRPr="00496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  <w:r w:rsidR="005E64B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Измененията са</w:t>
            </w:r>
            <w:r w:rsidR="001D2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унисон с </w:t>
            </w:r>
            <w:r w:rsidR="004D7A9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предвидените в раздел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4.5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1D23B0">
              <w:rPr>
                <w:rFonts w:ascii="Times New Roman" w:hAnsi="Times New Roman" w:cs="Times New Roman"/>
                <w:sz w:val="24"/>
                <w:szCs w:val="24"/>
              </w:rPr>
              <w:t>CISAF</w:t>
            </w:r>
            <w:r w:rsidR="004D7A9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условия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адаптирани съобразно националните специфики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64B4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 оглед осъществен обмен със службите на ЕК по нотифицираната схема SA.120414(2025/N) във връзка с приетото Постановление № 237 на Министерския съвет от 2025 г. (ПМС 237/2025)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които </w:t>
            </w:r>
            <w:r w:rsidR="005E64B4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 свързани с: </w:t>
            </w:r>
          </w:p>
          <w:p w:rsidR="005E64B4" w:rsidRPr="005E64B4" w:rsidRDefault="005E64B4" w:rsidP="005E64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486DC8" w:rsidRPr="00486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прецизиране на реда за доказване на допустимото количество електрическа енергия от предприятията-бенефициери при изплащане на компенсации на предприятия, които осъществяват както допустими икономически дейности (извършващи икономическа дейност в сектори изложени на значителен риск, посочени в Приложение № 1 към Насоките на ЕК относно държавната помощ в областта на климата, опазването на околната среда и енергетиката от 2022 г.), така и дейности, попадащи извън обхвата на подкрепа (и начинът за доказване на разпределението на разходите по дейности – допустими и недопустими)</w:t>
            </w: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 </w:t>
            </w:r>
          </w:p>
          <w:p w:rsidR="005E64B4" w:rsidRPr="005E64B4" w:rsidRDefault="005E64B4" w:rsidP="005E64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определяне на прогнозен бюджет за целия период на действие на схемата;</w:t>
            </w:r>
          </w:p>
          <w:p w:rsidR="005E64B4" w:rsidRPr="005E64B4" w:rsidRDefault="005E64B4" w:rsidP="005E64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прецизиране на условията и реда за обмен на информация между доставчиците на електрическа енергия, Фонд „Сигурност на електроенергийната система“ и Министерството на енергетиката (по отношение на изплащането на ежемесечни компенсации);</w:t>
            </w:r>
          </w:p>
          <w:p w:rsidR="005E64B4" w:rsidRPr="005E64B4" w:rsidRDefault="005E64B4" w:rsidP="005E64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486DC8" w:rsidRPr="00486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прецизиране на използваната терминология и осигуряване на прозрачност чрез регулярно публикуване на информация за размера на получените компенсации от предприятията-бенефициери и вида на инвестициите (задължителен насрещен ангажимент при получаване на подкрепа по настоящата схема)</w:t>
            </w: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86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23B0" w:rsidRPr="001D23B0" w:rsidRDefault="005E64B4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останалата си част ПМС 237/2025 остава непроменено и предприятията ще могат да се възползват от схемата за подкрепа, при спазване кумулативно на условията по ПМС 237/2025</w:t>
            </w:r>
            <w:r w:rsid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обобщени, както следва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4966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23B0" w:rsidRPr="001D23B0" w:rsidRDefault="001C0B46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подкрепа </w:t>
            </w:r>
            <w:r w:rsidR="00063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не повече от 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50% </w:t>
            </w:r>
            <w:r w:rsidR="004D7A93"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измереното със средство/а за търговско измерване, доставено от доставчика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</w:t>
            </w:r>
            <w:r w:rsidR="004D7A93"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потребено </w:t>
            </w:r>
            <w:r w:rsidR="00250F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допустимо </w:t>
            </w:r>
            <w:r w:rsidR="004D7A93"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активна електрическа енергия</w:t>
            </w:r>
            <w:r w:rsidR="00304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съответното предприятие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D23B0" w:rsidRPr="001D23B0" w:rsidRDefault="004D7A93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компенсиране на </w:t>
            </w:r>
            <w:r w:rsidR="00063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50% от постигнатата </w:t>
            </w:r>
            <w:r w:rsidR="00250F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средноаритметична</w:t>
            </w:r>
            <w:r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цена </w:t>
            </w:r>
            <w:r w:rsidR="0040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="00250F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ценовия </w:t>
            </w:r>
            <w:r w:rsidR="00402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 </w:t>
            </w:r>
            <w:r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базов товар на сегмента „Ден напред” на БНЕБ, приложена върху 50% от неговото потребление на </w:t>
            </w:r>
            <w:r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активна електрическа енергия за същия период, върху която енергия по принцип следва да се начисли цена „задължение към обществото“ и която е измерена със средство/а за търговско измерване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като к</w:t>
            </w:r>
            <w:r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омпенсирането не трябва да води до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намаляване </w:t>
            </w:r>
            <w:r w:rsidR="005E64B4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реалната </w:t>
            </w:r>
            <w:r w:rsidR="00250F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среднопретеглена</w:t>
            </w:r>
            <w:r w:rsidR="00250F2E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64B4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цена на конкретното предприятие под пределната намалена цена от 63,91 евро/MWh</w:t>
            </w:r>
            <w:r w:rsid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64B4" w:rsidRPr="004D7A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[125 лв./MWh]</w:t>
            </w:r>
            <w:r w:rsidR="005E64B4" w:rsidRPr="005E64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допустимото количество потребена електрическа енергия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</w:t>
            </w: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адължение за инвестиране на 50% от размера на помощта в мерки за декарбонизация за намаляване на разходите за електроенергийната система, в т.ч. и в проекти за гъвкава електрификация (инвестициите в електрификация могат да се считат за гъвкави, например ако потреблението на електрическа енергия може да бъде адаптирано въз основа на ценови сигнали или когато инвестициите са съчетани с изисквания да бъдат инсталирани решения за гъвкавост, като например системи за акумулиране на енергия). </w:t>
            </w:r>
          </w:p>
          <w:p w:rsid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Допустимата инвестиционна дейност трябва да започне да функционира в срок от 48 месеца от предоставянето на помощта. Допустимите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инвестиционни дейности са: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разработване на мощности за производство на енергия от възобновяеми източници; 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решения за акумулиране на енергия (системи за съхранение);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мерки за увеличаване на гъвкавостта на търсенето; 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подобрения на енергийната ефективност, които оказват въздействие върху търсенето на електроенергия;</w:t>
            </w:r>
          </w:p>
          <w:p w:rsidR="001D23B0" w:rsidRPr="001D23B0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внедряване на електролизьори за производството на водород от възобновяеми източници или нисковъглероден водород;</w:t>
            </w:r>
          </w:p>
          <w:p w:rsidR="00A5310A" w:rsidRPr="001F392A" w:rsidRDefault="001D23B0" w:rsidP="001D23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инвестиции, насочени към  електрификация. </w:t>
            </w:r>
            <w:r w:rsidR="00A5310A"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5310A" w:rsidRPr="00832FA7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Очаквани ефекти от прилагането на варианта:</w:t>
            </w:r>
          </w:p>
          <w:p w:rsidR="00A5310A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Положителни въздействия:</w:t>
            </w:r>
          </w:p>
          <w:p w:rsidR="00832FA7" w:rsidRPr="00832FA7" w:rsidRDefault="00832FA7" w:rsidP="006613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Ще се постигне</w:t>
            </w:r>
            <w:r w:rsid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временно облекчение </w:t>
            </w:r>
            <w:r w:rsidR="00AC7F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цените на електрическата енергия</w:t>
            </w:r>
            <w:r w:rsidR="001C0B46" w:rsidRP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енергоемките потребители</w:t>
            </w:r>
            <w:r w:rsid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при ангажимент за инвестиции, които ще допринесат за постигане на</w:t>
            </w:r>
            <w:r w:rsidR="001C0B46" w:rsidRP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целите за декарбонизация на индустрията чрез ангажимент за намаляване на разходите на електроенергийната система, отразявайки</w:t>
            </w:r>
            <w:r w:rsidR="006613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нуждите на пазара и системата,</w:t>
            </w:r>
            <w:r w:rsidR="001C0B46" w:rsidRP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чрез ангажимент за допустимите предприятия да вложат най-малко 50% от размера на получените компенсации за инвестиции в нови или модернизирани активи, за които инвестиции може измеримо да се докаже, че имат допълнителен принос за намаляване на разходите на електроенергийната система, отразявайки нуждите на пазара и системата, без да водят до увеличаване на потреблението на изкопаеми горива</w:t>
            </w:r>
            <w:r w:rsidRPr="00832F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A5310A" w:rsidRPr="00832FA7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Отрицателни въздействия:</w:t>
            </w:r>
          </w:p>
          <w:p w:rsidR="00832FA7" w:rsidRPr="00832FA7" w:rsidRDefault="00832FA7" w:rsidP="001F392A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Няма.</w:t>
            </w:r>
          </w:p>
          <w:p w:rsidR="00A5310A" w:rsidRPr="00832FA7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Специфични въздействия:</w:t>
            </w:r>
          </w:p>
          <w:p w:rsidR="00A5310A" w:rsidRPr="00832FA7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Върху МСП:</w:t>
            </w:r>
          </w:p>
          <w:p w:rsidR="00832FA7" w:rsidRDefault="00A5310A" w:rsidP="006613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Положително въздействие</w:t>
            </w:r>
            <w:r w:rsidR="001D2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</w:t>
            </w:r>
            <w:r w:rsidR="001C0B4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предприятията</w:t>
            </w:r>
            <w:r w:rsidR="001D2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извършващи икономически дейности в секторите </w:t>
            </w:r>
            <w:r w:rsidR="001D23B0" w:rsidRPr="005A4E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среда и енергетиката от 2022 г</w:t>
            </w:r>
            <w:r w:rsidR="00832F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="001D23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които заявят желанието си да кандидатстват за помощта чрез доставчиците си на електрическа енергия.</w:t>
            </w:r>
          </w:p>
          <w:p w:rsidR="00A5310A" w:rsidRPr="00832FA7" w:rsidRDefault="00A5310A" w:rsidP="001F3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32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Административна тежест:</w:t>
            </w:r>
          </w:p>
          <w:p w:rsidR="00A5310A" w:rsidRPr="001F392A" w:rsidRDefault="00A5310A" w:rsidP="006613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92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 се увеличава</w:t>
            </w:r>
            <w:r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предвидено е процесът на оценка за допустимост да бъде изцяло съобразно изискванията на Рамката, като допълнителните проверки на обстоятелствата ще се извършват по служебен ред</w:t>
            </w:r>
            <w:r w:rsidRPr="001F39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Изпълнението и ефектът от инвестициите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ще 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 доказват от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получателите на подкрепата</w:t>
            </w:r>
            <w:r w:rsidR="001D23B0" w:rsidRP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подаване на финансово-технически отчет, придружен със съответните документални доказателства за изпълнение и ефекта (напр. оферти, договори с изпълнител, фактури, платежни, разрешения за въвеждане в експлоатация, техническа документация и пр.), съгласно </w:t>
            </w:r>
            <w:r w:rsidR="001D23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индивидуалния административен акт за отпускане на помощта. </w:t>
            </w:r>
          </w:p>
          <w:p w:rsidR="00E44DE0" w:rsidRPr="001F392A" w:rsidRDefault="00E44DE0" w:rsidP="001F39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(въздействията върху малките и средните предприятия; административна тежест)</w:t>
            </w:r>
          </w:p>
          <w:p w:rsidR="0078311F" w:rsidRPr="001F392A" w:rsidRDefault="0078311F" w:rsidP="001F39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1.1. Опишете качествено (при възможност – и количествено) всички значителни потенциални икономически, социални и екологични въздействия, вкл</w:t>
            </w:r>
            <w:r w:rsidR="00064CC7"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ючително</w:t>
            </w: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върху всяка заинтересована страна/група заинтересовани страни. Пояснете кои въздействия се очаква да бъдат значителни и кои второстепенни.</w:t>
            </w:r>
          </w:p>
          <w:p w:rsidR="00E44DE0" w:rsidRPr="001F392A" w:rsidRDefault="0078311F" w:rsidP="001F39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1F392A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1.2. Опишете специфичните въздействия с акцент върху малките и средните предприятия и административната тежест (задължения за информиране, такси, регулаторни режими, административни услуги и др.)</w:t>
            </w:r>
          </w:p>
          <w:p w:rsidR="00E44DE0" w:rsidRPr="001F392A" w:rsidRDefault="00E44DE0" w:rsidP="001F392A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5. Сравняване на вариантите:</w:t>
            </w:r>
          </w:p>
          <w:p w:rsidR="00076E63" w:rsidRDefault="00064387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Степени на </w:t>
            </w:r>
            <w:r w:rsidR="00512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изпълнение по критерии</w:t>
            </w: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1) висока; 2) средна; 3) ниска.</w:t>
            </w:r>
          </w:p>
          <w:p w:rsidR="004E4FD6" w:rsidRPr="00C93DF1" w:rsidRDefault="00E44DE0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93D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5.1. По проблем 1:</w:t>
            </w:r>
            <w:r w:rsidR="002C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tbl>
            <w:tblPr>
              <w:tblW w:w="0" w:type="auto"/>
              <w:tblInd w:w="55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63"/>
              <w:gridCol w:w="2977"/>
              <w:gridCol w:w="2552"/>
              <w:gridCol w:w="1984"/>
            </w:tblGrid>
            <w:tr w:rsidR="00832FA7" w:rsidRPr="003C124D" w:rsidTr="00832FA7">
              <w:trPr>
                <w:trHeight w:val="357"/>
              </w:trPr>
              <w:tc>
                <w:tcPr>
                  <w:tcW w:w="45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  <w:tl2br w:val="single" w:sz="12" w:space="0" w:color="auto"/>
                  </w:tcBorders>
                  <w:shd w:val="clear" w:color="auto" w:fill="D9D9D9"/>
                </w:tcPr>
                <w:p w:rsidR="00832FA7" w:rsidRPr="00076E63" w:rsidRDefault="00832FA7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832FA7" w:rsidRPr="00076E63" w:rsidRDefault="00832FA7" w:rsidP="00076E63">
                  <w:pPr>
                    <w:spacing w:after="0" w:line="240" w:lineRule="auto"/>
                    <w:ind w:left="-160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1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832FA7" w:rsidRPr="00076E63" w:rsidRDefault="00832FA7" w:rsidP="00076E6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Вариант 2</w:t>
                  </w:r>
                </w:p>
              </w:tc>
            </w:tr>
            <w:tr w:rsidR="00832FA7" w:rsidRPr="003C124D" w:rsidTr="00832FA7">
              <w:trPr>
                <w:trHeight w:val="580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832FA7" w:rsidRPr="00076E63" w:rsidRDefault="00832FA7" w:rsidP="00192904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832FA7" w:rsidRPr="00076E63" w:rsidRDefault="00832FA7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</w:t>
                  </w:r>
                  <w:r w:rsidRPr="00832FA7">
                    <w:rPr>
                      <w:lang w:val="ru-RU"/>
                    </w:rPr>
                    <w:t xml:space="preserve"> </w:t>
                  </w:r>
                  <w:r w:rsidR="00F160D0" w:rsidRPr="00F160D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Запазване на конкурентоспособността на българските предприятия чрез прилагане на мярка за временно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облекчение на цените на електрическата енергия</w:t>
                  </w:r>
                  <w:r w:rsidR="00F160D0" w:rsidRPr="00F160D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за предприятия, за които е налице значителен риск на секторно равнище от преместване на дейности извън 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ЕС</w:t>
                  </w:r>
                  <w:r w:rsidR="00F160D0" w:rsidRPr="00F160D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към места където няма мерки за опазване на околната среда или целите в тази област не са толкова амбициозни. Такива предприятия съгласно т.4.5.2 (116) от Рамката са предприятията 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</w:t>
                  </w:r>
                  <w:r w:rsidR="00F160D0" w:rsidRPr="00F160D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на климата, опазването на околната среда и енергетиката от 2022 г.</w:t>
                  </w:r>
                  <w:r w:rsidR="00F160D0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832FA7" w:rsidRPr="00192904" w:rsidRDefault="00832FA7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  <w:lastRenderedPageBreak/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832FA7" w:rsidRPr="00192904" w:rsidRDefault="00832FA7" w:rsidP="0051221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2C7F61" w:rsidRPr="003C124D" w:rsidTr="00832FA7">
              <w:trPr>
                <w:trHeight w:val="580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2C7F61" w:rsidRPr="00076E63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Ефективност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Default="002C7F61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Принос към целите за декарбонизация на индустрията чрез ангажимент за намаляване на разходите на електроенергийната система, отразявайки нуждите на пазара и системата, чрез ангажимент за допустимите предприятия да вложат най-малко 50 % от размера на получените компенсации за инвестиции в нови или модернизирани активи, за които инвестиции може измеримо да се докаже, че имат допълнителен принос за намаляване на разходите на електроенергийната система, отразявайки нуждите на пазара и системата, без да водят до увеличаване на потреблението на и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зкопаеми горива. 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2C7F61" w:rsidRPr="00A5310A" w:rsidTr="00832FA7">
              <w:trPr>
                <w:trHeight w:val="580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2C7F61" w:rsidRPr="00076E63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076E63" w:rsidRDefault="002C7F61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Цел 1: Запазване на конкурентоспособността на българските предприятия чрез прилагане на мярка за временно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облекчение на цените на електрическата енергия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за предприятия, за които е налице значителен риск на секторно равнище от преместване на дейности извън 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ЕС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към места където няма мерки за опазване на околната среда или целите в тази област не са толкова амбициозни. Такива предприятия съгласно т.4.5.2 (116) от Рамката са предприятията 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 среда и енергетиката от 2022 г.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eastAsia="Times New Roman" w:hAnsi="Times New Roman" w:cs="Times New Roman"/>
                      <w:w w:val="111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eastAsia="Times New Roman" w:hAnsi="Times New Roman" w:cs="Times New Roman"/>
                      <w:w w:val="110"/>
                      <w:sz w:val="24"/>
                      <w:szCs w:val="24"/>
                      <w:lang w:val="bg-BG"/>
                    </w:rPr>
                  </w:pPr>
                  <w:r w:rsidRPr="001929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висока</w:t>
                  </w:r>
                </w:p>
              </w:tc>
            </w:tr>
            <w:tr w:rsidR="002C7F61" w:rsidRPr="00A5310A" w:rsidTr="00832FA7">
              <w:trPr>
                <w:trHeight w:val="580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textDirection w:val="btLr"/>
                  <w:vAlign w:val="center"/>
                </w:tcPr>
                <w:p w:rsidR="002C7F61" w:rsidRPr="00076E63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8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Ефикасност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832FA7" w:rsidRDefault="002C7F61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Принос към целите за декарбонизация на индустрията чрез ангажимент за намаляване на разходите на електроенергийната система, отразявайки нуждите на пазара и системата, чрез ангажимент за допустимите предприятия да вложат най-малко 50 % от 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lastRenderedPageBreak/>
                    <w:t>размера на получените компенсации за инвестиции в нови или модернизирани активи, за които инвестиции може измеримо да се докаже, че имат допълнителен принос за намаляване на разходите на електроенергийната система, отразявайки нуждите на пазара и системата, без да водят до увеличаване на потреблението на и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зкопаеми горива.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533CC" w:rsidRDefault="0041252C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right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533CC" w:rsidRDefault="0041252C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28" w:after="0" w:line="240" w:lineRule="auto"/>
                    <w:ind w:left="103" w:right="10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висока</w:t>
                  </w:r>
                </w:p>
              </w:tc>
            </w:tr>
            <w:tr w:rsidR="002C7F61" w:rsidRPr="003B24AC" w:rsidTr="00832FA7">
              <w:trPr>
                <w:trHeight w:val="541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2C7F61" w:rsidRPr="00076E63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076E63" w:rsidRDefault="002C7F61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1: Запазване на конкурентоспособността на българските предприятия чрез прилагане на мярка за временно облекчение на 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цените на електрическата енергия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за предприятия, за които е налице значителен риск на секторно равнище от преместване на дейности извън </w:t>
                  </w:r>
                  <w:r w:rsidR="006613DF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ЕС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към места където няма мерки за опазване на околната среда или целите в тази област не са толкова амбициозни. Такива предприятия съгласно т.4.5.2 (116) от Рамката са предприятията 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 среда и енергетиката от 2022 г.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0B54B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0B54B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висока</w:t>
                  </w:r>
                </w:p>
              </w:tc>
            </w:tr>
            <w:tr w:rsidR="002C7F61" w:rsidRPr="003B24AC" w:rsidTr="00832FA7">
              <w:trPr>
                <w:trHeight w:val="541"/>
              </w:trPr>
              <w:tc>
                <w:tcPr>
                  <w:tcW w:w="15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textDirection w:val="btLr"/>
                  <w:vAlign w:val="center"/>
                </w:tcPr>
                <w:p w:rsidR="002C7F61" w:rsidRPr="00076E63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</w:pPr>
                  <w:r w:rsidRPr="00076E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val="bg-BG"/>
                    </w:rPr>
                    <w:t>Съгласуваност</w:t>
                  </w:r>
                </w:p>
              </w:tc>
              <w:tc>
                <w:tcPr>
                  <w:tcW w:w="297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  <w:vAlign w:val="center"/>
                </w:tcPr>
                <w:p w:rsidR="002C7F61" w:rsidRPr="00832FA7" w:rsidRDefault="002C7F61" w:rsidP="006613DF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3" w:after="0" w:line="240" w:lineRule="auto"/>
                    <w:ind w:left="113"/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Цел 2: </w:t>
                  </w:r>
                  <w:r w:rsidRPr="002C7F61"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>Принос към целите за декарбонизация на индустрията чрез ангажимент за намаляване на разходите на електроенергийната система, отразявайки нуждите на пазара и системата, чрез ангажимент за допустимите предприятия да вложат най-малко 50 % от размера на получените компенсации за инвестиции в нови или модернизирани активи, за които инвестиции може измеримо да се докаже, че имат допълнителен принос за намаляване на разходите на електроенергийната система, отразявайки нуждите на пазара и системата, без да водят до увеличаване на потреблението на и</w:t>
                  </w:r>
                  <w:r>
                    <w:rPr>
                      <w:rFonts w:ascii="Times New Roman" w:eastAsia="Times New Roman" w:hAnsi="Times New Roman" w:cs="Times New Roman"/>
                      <w:w w:val="105"/>
                      <w:sz w:val="20"/>
                      <w:szCs w:val="20"/>
                      <w:lang w:val="bg-BG"/>
                    </w:rPr>
                    <w:t xml:space="preserve">зкопаеми горива. </w:t>
                  </w:r>
                </w:p>
              </w:tc>
              <w:tc>
                <w:tcPr>
                  <w:tcW w:w="2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21" w:right="1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0B54B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ниска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/>
                </w:tcPr>
                <w:p w:rsidR="002C7F61" w:rsidRPr="00192904" w:rsidRDefault="002C7F61" w:rsidP="002C7F61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47" w:after="0" w:line="247" w:lineRule="auto"/>
                    <w:ind w:left="62" w:right="62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0B54B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висока</w:t>
                  </w:r>
                </w:p>
              </w:tc>
            </w:tr>
          </w:tbl>
          <w:p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076E63" w:rsidRPr="00076E63" w:rsidRDefault="0078311F" w:rsidP="00CE02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Сравнете вариантите чрез сравняване на ключовите </w:t>
            </w:r>
            <w:r w:rsidR="0051221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м положителни и отрицателни въздействия.</w:t>
            </w:r>
          </w:p>
          <w:p w:rsidR="00076E63" w:rsidRPr="00076E63" w:rsidRDefault="0078311F" w:rsidP="00CE02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степента, в която вариантите ще изпълнят определените цели, съгласно основните критерии за сравняване на вариантите:</w:t>
            </w:r>
          </w:p>
          <w:p w:rsidR="00076E63" w:rsidRPr="00076E63" w:rsidRDefault="00076E63" w:rsidP="00CE02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ефективност, чрез която се измерва степента, до която вариантите постигат целите на предложението;</w:t>
            </w:r>
          </w:p>
          <w:p w:rsidR="00076E63" w:rsidRPr="00076E63" w:rsidRDefault="00076E63" w:rsidP="00CE02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ефикасност, която отразява степента, до която целите могат да бъдат постигнати при определено ниво на ресурсите или при най-малко разходи;</w:t>
            </w:r>
          </w:p>
          <w:p w:rsidR="00D82CFD" w:rsidRPr="00C93DF1" w:rsidRDefault="00076E63" w:rsidP="00CE02C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съгласуваност, която показва степента, до която вариантите съответстват на 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действащите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стратегически документи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 Избор на препоръчителен вариант:</w:t>
            </w:r>
          </w:p>
          <w:p w:rsidR="00076E63" w:rsidRDefault="00076E63" w:rsidP="00E5492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По проблем 1: </w:t>
            </w:r>
            <w:r w:rsidR="00E54923" w:rsidRPr="00E5492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Препоръчва се за решаване на поставения проблем да бъде избран Вариант 2 „Приемане на предложения проект на акт“</w:t>
            </w:r>
          </w:p>
          <w:p w:rsidR="0078311F" w:rsidRPr="00076E63" w:rsidRDefault="001138D1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препоръчителните варианти за решаване на поставения проблем/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проблем</w:t>
            </w: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6.1. Промяна в административната тежест за физическите и юридическите лица от прилагането на препоръчителния вариант (включително по отделните проблеми):</w:t>
            </w:r>
          </w:p>
          <w:p w:rsidR="00076E63" w:rsidRPr="00076E63" w:rsidRDefault="006307EC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4854E52D">
                <v:shape id="_x0000_i1027" type="#_x0000_t75" style="width:108.85pt;height:18.45pt">
                  <v:imagedata r:id="rId12" o:title=""/>
                </v:shape>
              </w:pict>
            </w:r>
          </w:p>
          <w:p w:rsidR="00076E63" w:rsidRPr="00076E63" w:rsidRDefault="006307EC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7BE8C0B7">
                <v:shape id="_x0000_i1028" type="#_x0000_t75" style="width:108.85pt;height:18.45pt">
                  <v:imagedata r:id="rId13" o:title=""/>
                </v:shape>
              </w:pict>
            </w:r>
          </w:p>
          <w:p w:rsidR="00D82CFD" w:rsidRPr="00076E63" w:rsidRDefault="006307EC" w:rsidP="002F0E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2B3636BA">
                <v:shape id="_x0000_i1029" type="#_x0000_t75" style="width:108.85pt;height:18.45pt">
                  <v:imagedata r:id="rId14" o:title=""/>
                </v:shape>
              </w:pict>
            </w:r>
          </w:p>
          <w:p w:rsidR="002C7FC3" w:rsidRDefault="00192904" w:rsidP="0019290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29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Проектът на</w:t>
            </w:r>
            <w:r w:rsid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12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за изменение и допълнение на </w:t>
            </w:r>
            <w:r w:rsidR="002C7FC3" w:rsidRP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Постановление </w:t>
            </w:r>
            <w:r w:rsidR="00412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237 </w:t>
            </w:r>
            <w:r w:rsidR="002C7FC3" w:rsidRP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Министерския съвет</w:t>
            </w:r>
            <w:r w:rsidR="004125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2025 г.</w:t>
            </w:r>
            <w:r w:rsidR="002C7FC3" w:rsidRP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13DF" w:rsidRPr="00661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определяне на условията и ред</w:t>
            </w:r>
            <w:r w:rsidR="003045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613DF" w:rsidRPr="00661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      </w:r>
            <w:r w:rsidR="006613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има за цел да подкрепи предприятията, извършващи икономическа </w:t>
            </w:r>
            <w:r w:rsidR="002C7FC3" w:rsidRP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 среда и енергетиката от 2022 г.</w:t>
            </w:r>
            <w:r w:rsid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чрез предоставяне на компенсации за</w:t>
            </w:r>
            <w:r w:rsid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извършените разходи за</w:t>
            </w:r>
            <w:r w:rsidR="002C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50% от годишното им потребление на електрическа енергия</w:t>
            </w:r>
            <w:r w:rsid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чрез намаляване на дължимите за плащане суми по фактури. Същевременно, чрез ангажиментът за инвестиции, се очаква постигане на принос към екологичния преход и </w:t>
            </w:r>
            <w:r w:rsidR="00E21CF4" w:rsidRP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ускоряване</w:t>
            </w:r>
            <w:r w:rsid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E21CF4" w:rsidRP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декарбонизацията, реи</w:t>
            </w:r>
            <w:r w:rsidR="00E21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ндустриализацията и иновациите. </w:t>
            </w:r>
          </w:p>
          <w:p w:rsidR="00076E63" w:rsidRPr="00076E63" w:rsidRDefault="00076E63" w:rsidP="00A02FA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1.1. Изборът следва да е съотносим с посочените специфични въздействия на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препоръчителния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за решаване на всеки проблем.</w:t>
            </w:r>
          </w:p>
          <w:p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1.2. Ако се предвижда въвеждането на такса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,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представете образуването на нейния размер съгласно Методиката по чл. 7а от Закона за ограничаване на административното регулиране и административния контрол върху стопанската дейност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6.2. Създават ли се нови/засягат ли се съществуващи </w:t>
            </w:r>
            <w:r w:rsidR="00B722F7"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регулаторни режими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и услуги от прилагането на препоръчителния вариант (включително по отделните проблеми)?</w:t>
            </w:r>
          </w:p>
          <w:p w:rsidR="00076E63" w:rsidRPr="00076E63" w:rsidRDefault="006307EC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59DE35FD">
                <v:shape id="_x0000_i1030" type="#_x0000_t75" style="width:108.85pt;height:18.45pt">
                  <v:imagedata r:id="rId15" o:title=""/>
                </v:shape>
              </w:pict>
            </w:r>
          </w:p>
          <w:p w:rsidR="00076E63" w:rsidRPr="00076E63" w:rsidRDefault="006307EC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3CCA227F">
                <v:shape id="_x0000_i1031" type="#_x0000_t75" style="width:108.85pt;height:18.45pt">
                  <v:imagedata r:id="rId16" o:title=""/>
                </v:shape>
              </w:pict>
            </w:r>
          </w:p>
          <w:p w:rsidR="00F04B4E" w:rsidRDefault="00076E63" w:rsidP="00E21CF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</w:t>
            </w:r>
            <w:r w:rsidR="00F04B4E" w:rsidRP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Изборът следва да е съотносим с посочените специфични въздействия на избрания вариант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</w:t>
            </w:r>
          </w:p>
          <w:p w:rsidR="00076E63" w:rsidRPr="00076E63" w:rsidRDefault="00F04B4E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 случай че се предвижда създаване нов регулаторен режим, посочете неговия вид (за стопанска дейност: лицензионен, регистрационен; за отделна стелка</w:t>
            </w:r>
            <w:r w:rsidR="007831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или действие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: разрешителен, уведомителен; удостоверителен и по какъв начин това съответства с постигането на целите).</w:t>
            </w:r>
          </w:p>
          <w:p w:rsidR="00076E63" w:rsidRPr="00076E63" w:rsidRDefault="00076E63" w:rsidP="00E21CF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3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Мотивирайте създаването на новия регулаторен режим съгласно изискванията на чл. 3, ал. 4  от Закона за ограничаване на административното регулиране и административния контрол върху стопанската дейност.</w:t>
            </w:r>
          </w:p>
          <w:p w:rsidR="00076E63" w:rsidRPr="00076E63" w:rsidRDefault="00076E63" w:rsidP="00E21CF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4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предложените нови регулаторни режими отговарят ли на изискванията на чл. 10 – 12 от Закона за дейностите по предоставяне на услуги.</w:t>
            </w:r>
          </w:p>
          <w:p w:rsidR="00076E63" w:rsidRPr="00076E63" w:rsidRDefault="00076E63" w:rsidP="00E21CF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5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Посочете изпълнено ли е изискването на § 2 от Допълнителните разпоредби на Закона за дейностите по предоставяне на услуги.</w:t>
            </w:r>
          </w:p>
          <w:p w:rsidR="00076E63" w:rsidRPr="00076E63" w:rsidRDefault="00076E63" w:rsidP="00E21CF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</w:t>
            </w:r>
            <w:r w:rsidR="00F04B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6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. В случай че се изменят регулаторни режими или административни услуги, посочете промяната.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6.3. Създават ли се нови регистри от прилагането на препоръчителния вариант (включително по отделните проблеми)?</w:t>
            </w:r>
          </w:p>
          <w:p w:rsidR="00076E63" w:rsidRPr="00076E63" w:rsidRDefault="006307E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pict w14:anchorId="319A3815">
                <v:shape id="_x0000_i1032" type="#_x0000_t75" style="width:108.85pt;height:18.45pt">
                  <v:imagedata r:id="rId15" o:title=""/>
                </v:shape>
              </w:pict>
            </w:r>
          </w:p>
          <w:p w:rsidR="00076E63" w:rsidRPr="00076E63" w:rsidRDefault="006307EC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04663E39">
                <v:shape id="_x0000_i1033" type="#_x0000_t75" style="width:108.85pt;height:18.45pt">
                  <v:imagedata r:id="rId16" o:title=""/>
                </v:shape>
              </w:pict>
            </w:r>
          </w:p>
          <w:p w:rsidR="00076E63" w:rsidRPr="00076E63" w:rsidRDefault="00076E63" w:rsidP="00A02FA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Когато отговорът е „Да“, посочете регистрите, които се създават и по какъв начин те ще бъдат интегрирани в общата регистрова инфраструктура.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F51D50" w:rsidRPr="00076E63" w:rsidRDefault="00F51D50" w:rsidP="00F51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6.4. По какъв начин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препоръчителният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вариант въздейства върху микро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-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 малките и средните предприятия (МСП)</w:t>
            </w:r>
            <w:r w:rsidRPr="00076E63"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  <w:t xml:space="preserve"> </w:t>
            </w: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(включително по отделните проблеми)?</w:t>
            </w:r>
          </w:p>
          <w:p w:rsidR="00F51D50" w:rsidRPr="00076E63" w:rsidRDefault="00F51D50" w:rsidP="00F51D50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1440" w:dyaOrig="1440">
                <v:shape id="_x0000_i1044" type="#_x0000_t75" style="width:259.8pt;height:17.85pt" o:ole="">
                  <v:imagedata r:id="rId17" o:title=""/>
                </v:shape>
                <w:control r:id="rId18" w:name="OptionButton6" w:shapeid="_x0000_i1044"/>
              </w:object>
            </w:r>
          </w:p>
          <w:p w:rsidR="00F51D50" w:rsidRDefault="00F51D50" w:rsidP="00F51D50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en-GB"/>
              </w:rPr>
            </w:pPr>
            <w:r w:rsidRPr="00076E63">
              <w:rPr>
                <w:rFonts w:ascii="Calibri" w:eastAsia="MS Mincho" w:hAnsi="Calibri" w:cs="MS Mincho"/>
                <w:sz w:val="24"/>
                <w:szCs w:val="24"/>
                <w:lang w:val="en-GB"/>
              </w:rPr>
              <w:object w:dxaOrig="1440" w:dyaOrig="1440">
                <v:shape id="_x0000_i1046" type="#_x0000_t75" style="width:161.3pt;height:17.85pt" o:ole="">
                  <v:imagedata r:id="rId19" o:title=""/>
                </v:shape>
                <w:control r:id="rId20" w:name="OptionButton7" w:shapeid="_x0000_i1046"/>
              </w:object>
            </w:r>
          </w:p>
          <w:p w:rsidR="00F51D50" w:rsidRDefault="00F51D50" w:rsidP="00F51D50">
            <w:pPr>
              <w:spacing w:before="120" w:after="12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A02FA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Препоръчителният вариант оказва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пряко положително въздействие </w:t>
            </w:r>
            <w:r w:rsidRPr="00A02FA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върху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предприятията, </w:t>
            </w:r>
            <w:r w:rsidRPr="001C0B46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извършващи икономическа дейност, попадаща в обхвата на секторите, изброени в Списъка със сектори изложени на значителен риск, както е посочено в раздел 4.11.3.1, представляващ Приложение № 1 към Насоките на ЕК относно държавната помощ в областта на климата, опазването на околната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среда и енергетиката от 2022 г.</w:t>
            </w:r>
          </w:p>
          <w:p w:rsidR="00076E63" w:rsidRPr="00076E63" w:rsidRDefault="00FF7077" w:rsidP="00722C3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И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зборът следва да е съотносим с посочените специфични въздействия на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препоръчителния вариант.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6.5. Потенциални рискове от прилагането на препоръчителния вариант (включително по отделните проблеми):</w:t>
            </w:r>
          </w:p>
          <w:p w:rsidR="00076E63" w:rsidRPr="00076E63" w:rsidRDefault="002F0EF1" w:rsidP="00076E6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Не са идентифицирани потенциални рискове при реализиране на Вариант 2.</w:t>
            </w:r>
          </w:p>
          <w:p w:rsidR="00076E63" w:rsidRPr="00076E63" w:rsidRDefault="00076E63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Посочете възможните рискове от прилагането на препоръчителния вариант, различни от отрицателните въздействия, </w:t>
            </w:r>
            <w:r w:rsidR="00FF707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напр. </w:t>
            </w: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възникване на съдебни спорове и др.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7. Консултации:</w:t>
            </w:r>
          </w:p>
          <w:p w:rsidR="00076E63" w:rsidRPr="00076E63" w:rsidRDefault="006307EC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pict w14:anchorId="40F51C9D">
                <v:shape id="_x0000_i1038" type="#_x0000_t75" style="width:499.4pt;height:18.45pt">
                  <v:imagedata r:id="rId21" o:title=""/>
                </v:shape>
              </w:pict>
            </w:r>
          </w:p>
          <w:p w:rsidR="00076E63" w:rsidRDefault="001138D1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 w:rsidRPr="001138D1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Посочете основните заинтересовани страни, с които са проведени консултации. Посочете резултатите от консултациите, включително на ниво ЕС: спорни въпроси, многократно поставяни въпроси и др.</w:t>
            </w:r>
          </w:p>
          <w:p w:rsidR="004417F5" w:rsidRPr="004417F5" w:rsidRDefault="004417F5" w:rsidP="00441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прилагане на мярката е необходимо Решение на ЕК за държавна помощ, за което службите на Комисията бяха нотифицирани своевременно, при приемане на ПМС 237/2025 г. Решението е прието на 16 април 2026 г. (въпреки първоначалните очаквания за произнасяне в двумесечен срок), с което възникна необходимост от прецизиране на текстове на приетото ПМС 237/2025 г. Успоредно с осъществения обмен със службите на ЕК стартираха и военните действия в Близкия изток, с произтичащите от тях негативни влияния върху енергийните пазари (допълнени от затварянето на Ормузкия проток), което доведе до изразяване на силна загриженост и от страна на председателя на ЕК. Сред очертаните мерки за намаляване на негативните ефекти от конфликта са предвидени и възможности за по-гъвкаво и ускорено прилагане на схеми за държавна помощ за предприятията с оглед икономическа защита и запазване на тяхната конкурентоспособност.     </w:t>
            </w:r>
          </w:p>
          <w:p w:rsidR="004417F5" w:rsidRDefault="004417F5" w:rsidP="00441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Във връзка с критичната необходимост от прилагане на справедлив подход за подкрепа на българските енергоинтезивни предприятия (в т.ч. и в контекста на получената обратна връзка по ПМС 237/2025 от службите на ЕК по нотифицирана схема SA.120414(2025/N)), предвид конфликта в Близкия изток и отражението на ситуацията върху енергийните пазари и с оглед нормативно установената възможност в чл. 26, ал. 4, изречение второ от Закона за нормативните актове, е 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видено</w:t>
            </w:r>
            <w:r w:rsidRP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обществените консултации по проекта на акт да се проведат в съкратен срок. </w:t>
            </w:r>
          </w:p>
          <w:p w:rsidR="00076E63" w:rsidRPr="002F0EF1" w:rsidRDefault="002F0EF1" w:rsidP="002F0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F0E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Проектът на акт, заедно с Доклада на министъра на </w:t>
            </w:r>
            <w:r w:rsidR="00C22F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енергетиката</w:t>
            </w:r>
            <w:r w:rsidR="008A35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2F0E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ще бъдат публикувани на Портала за обществени консултации на Министерския съвет и на интернет страницата на Министерството на </w:t>
            </w:r>
            <w:r w:rsidR="00C22FE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енергетиката </w:t>
            </w:r>
            <w:r w:rsidRPr="002F0E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получаване на предложения и становища за срок от </w:t>
            </w:r>
            <w:r w:rsid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14</w:t>
            </w:r>
            <w:r w:rsidRPr="002F0EF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дни.</w:t>
            </w:r>
            <w:r w:rsid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4417F5" w:rsidRP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Това ще позволи своевременното приемане на постановлението и прилагане на предвидените в него мерки за подкрепа.</w:t>
            </w:r>
            <w:r w:rsidR="004417F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  <w:p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lastRenderedPageBreak/>
              <w:t>Обобщете най-важните въпроси за обществени консултации. Посочете индикативен график за тяхното провеждане и видовете консултационни процедури.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8. Приемането на нормативния акт произтича ли от правото на Европейския съюз?</w:t>
            </w:r>
          </w:p>
          <w:p w:rsidR="00076E63" w:rsidRPr="00076E63" w:rsidRDefault="006307EC" w:rsidP="00076E63">
            <w:pPr>
              <w:spacing w:before="120" w:after="120" w:line="240" w:lineRule="auto"/>
              <w:rPr>
                <w:rFonts w:ascii="Calibri" w:eastAsia="MS Mincho" w:hAnsi="Calibri" w:cs="MS Mincho"/>
                <w:sz w:val="24"/>
                <w:szCs w:val="24"/>
                <w:lang w:val="bg-BG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pict w14:anchorId="3548FBA1">
                <v:shape id="_x0000_i1039" type="#_x0000_t75" style="width:108.85pt;height:18.45pt">
                  <v:imagedata r:id="rId15" o:title=""/>
                </v:shape>
              </w:pict>
            </w:r>
          </w:p>
          <w:p w:rsidR="00076E63" w:rsidRPr="00076E63" w:rsidRDefault="006307EC" w:rsidP="002F0EF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MS Mincho" w:eastAsia="MS Mincho" w:hAnsi="MS Mincho" w:cs="MS Mincho"/>
                <w:sz w:val="24"/>
                <w:szCs w:val="24"/>
                <w:lang w:val="en-GB"/>
              </w:rPr>
              <w:pict w14:anchorId="4BEA1EE9">
                <v:shape id="_x0000_i1040" type="#_x0000_t75" style="width:108.85pt;height:18.45pt">
                  <v:imagedata r:id="rId16" o:title=""/>
                </v:shape>
              </w:pict>
            </w:r>
          </w:p>
          <w:p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1.1. 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осочете изискванията на правото на Европейския съюз, включително информацията по т. 6.2 и 6.3, дали е извършена оценка на въздействието на ниво Европейски съюз, и я приложете (или посочете връзка към източник).</w:t>
            </w:r>
          </w:p>
          <w:p w:rsidR="00076E63" w:rsidRPr="00076E63" w:rsidRDefault="00FF7077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1.2.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Изборът трябва да съответства на посоченото в раздел 1, съгласно неговата т. 1.5. 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9.  Изисква ли се извършване на цялостна предварителна оценка на въздействието поради очаквани значителни последици?</w:t>
            </w:r>
          </w:p>
          <w:p w:rsidR="00076E63" w:rsidRPr="00076E63" w:rsidRDefault="006307EC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pict w14:anchorId="6FB0BF29">
                <v:shape id="_x0000_i1041" type="#_x0000_t75" style="width:108.85pt;height:18.45pt">
                  <v:imagedata r:id="rId15" o:title=""/>
                </v:shape>
              </w:pict>
            </w:r>
          </w:p>
          <w:p w:rsidR="00076E63" w:rsidRPr="00076E63" w:rsidRDefault="006307EC" w:rsidP="00076E63">
            <w:pPr>
              <w:spacing w:before="120" w:after="120" w:line="240" w:lineRule="auto"/>
              <w:jc w:val="both"/>
              <w:rPr>
                <w:rFonts w:ascii="Calibri" w:eastAsia="Times New Roman" w:hAnsi="Calibri" w:cs="Segoe UI Symbol"/>
                <w:b/>
                <w:sz w:val="24"/>
                <w:szCs w:val="24"/>
                <w:lang w:val="bg-BG"/>
              </w:rPr>
            </w:pPr>
            <w:r>
              <w:rPr>
                <w:rFonts w:ascii="Hebar" w:eastAsia="Times New Roman" w:hAnsi="Hebar" w:cs="Segoe UI Symbol"/>
                <w:b/>
                <w:sz w:val="24"/>
                <w:szCs w:val="24"/>
                <w:lang w:val="en-GB"/>
              </w:rPr>
              <w:pict w14:anchorId="6AA28506">
                <v:shape id="_x0000_i1042" type="#_x0000_t75" style="width:108.85pt;height:18.45pt">
                  <v:imagedata r:id="rId16" o:title=""/>
                </v:shape>
              </w:pict>
            </w:r>
          </w:p>
          <w:p w:rsidR="00076E63" w:rsidRPr="00076E63" w:rsidRDefault="00076E63" w:rsidP="00076E6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(преценка съгласно чл. 20, ал. 3, т. 2 от Закона за нормативните актове)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10. Приложения:</w:t>
            </w:r>
            <w:r w:rsidR="004E71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Няма</w:t>
            </w:r>
          </w:p>
          <w:p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риложете необходимата допъ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лнителна информация и документи.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Default="00076E63" w:rsidP="00076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11. Информационни източници:</w:t>
            </w:r>
          </w:p>
          <w:p w:rsidR="00A02FA6" w:rsidRPr="00A02FA6" w:rsidRDefault="00A02FA6" w:rsidP="00A02FA6">
            <w:pPr>
              <w:pStyle w:val="NormalWeb"/>
              <w:rPr>
                <w:lang w:val="ru-RU"/>
              </w:rPr>
            </w:pPr>
            <w:r w:rsidRPr="00A02FA6">
              <w:rPr>
                <w:lang w:val="ru-RU"/>
              </w:rPr>
              <w:t>Оценката е изготвена на база следните основни източници на информация:</w:t>
            </w:r>
          </w:p>
          <w:p w:rsidR="00A02FA6" w:rsidRPr="00A02FA6" w:rsidRDefault="00F334E6" w:rsidP="00F334E6">
            <w:pPr>
              <w:pStyle w:val="NormalWeb"/>
              <w:numPr>
                <w:ilvl w:val="0"/>
                <w:numId w:val="24"/>
              </w:numPr>
              <w:rPr>
                <w:lang w:val="ru-RU"/>
              </w:rPr>
            </w:pPr>
            <w:r w:rsidRPr="00F334E6">
              <w:rPr>
                <w:b/>
                <w:lang w:val="ru-RU"/>
              </w:rPr>
              <w:t xml:space="preserve">Съобщение на Комисията C(2025) </w:t>
            </w:r>
            <w:r w:rsidR="0041252C">
              <w:rPr>
                <w:b/>
                <w:lang w:val="ru-RU"/>
              </w:rPr>
              <w:t>3602</w:t>
            </w:r>
            <w:r w:rsidR="0041252C" w:rsidRPr="00F334E6">
              <w:rPr>
                <w:b/>
                <w:lang w:val="ru-RU"/>
              </w:rPr>
              <w:t xml:space="preserve"> </w:t>
            </w:r>
            <w:r w:rsidRPr="00F334E6">
              <w:rPr>
                <w:b/>
                <w:lang w:val="ru-RU"/>
              </w:rPr>
              <w:t>от 25.06.2025 г. „Рамка за мерки за държавна помощ в подкрепа на Пакта за чиста промишленост“</w:t>
            </w:r>
            <w:r w:rsidR="00761B9F">
              <w:rPr>
                <w:b/>
                <w:lang w:val="ru-RU"/>
              </w:rPr>
              <w:t xml:space="preserve"> (</w:t>
            </w:r>
            <w:r w:rsidR="00761B9F">
              <w:rPr>
                <w:b/>
              </w:rPr>
              <w:t>OJ/</w:t>
            </w:r>
            <w:r w:rsidR="00761B9F">
              <w:rPr>
                <w:b/>
                <w:lang w:val="ru-RU"/>
              </w:rPr>
              <w:t>04.07.2025 г.)</w:t>
            </w:r>
            <w:r>
              <w:rPr>
                <w:lang w:val="ru-RU"/>
              </w:rPr>
              <w:t xml:space="preserve">. </w:t>
            </w:r>
            <w:r w:rsidR="00A02FA6" w:rsidRPr="00A02FA6">
              <w:rPr>
                <w:lang w:val="ru-RU"/>
              </w:rPr>
              <w:br/>
            </w:r>
          </w:p>
          <w:p w:rsidR="004E7113" w:rsidRPr="004E7113" w:rsidRDefault="00A02FA6" w:rsidP="00A02FA6">
            <w:pPr>
              <w:pStyle w:val="NormalWeb"/>
              <w:numPr>
                <w:ilvl w:val="0"/>
                <w:numId w:val="24"/>
              </w:numPr>
              <w:rPr>
                <w:rStyle w:val="Strong"/>
                <w:b w:val="0"/>
                <w:bCs w:val="0"/>
                <w:lang w:val="ru-RU"/>
              </w:rPr>
            </w:pPr>
            <w:r w:rsidRPr="00A02FA6">
              <w:rPr>
                <w:rStyle w:val="Strong"/>
                <w:lang w:val="ru-RU"/>
              </w:rPr>
              <w:t xml:space="preserve">Закон за </w:t>
            </w:r>
            <w:r w:rsidR="00F334E6">
              <w:rPr>
                <w:rStyle w:val="Strong"/>
                <w:lang w:val="ru-RU"/>
              </w:rPr>
              <w:t>енергетиката</w:t>
            </w:r>
            <w:r w:rsidR="004E7113">
              <w:rPr>
                <w:rStyle w:val="Strong"/>
                <w:lang w:val="ru-RU"/>
              </w:rPr>
              <w:t>.</w:t>
            </w:r>
          </w:p>
          <w:p w:rsidR="00076E63" w:rsidRPr="00076E63" w:rsidRDefault="00FF7077" w:rsidP="00FF707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осочете изчерпателен списък на информационните източници, </w:t>
            </w:r>
            <w:r w:rsidR="00064CC7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които са 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послужили за оценка на въздействията на отделните варианти и при избор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а</w:t>
            </w:r>
            <w:r w:rsidR="00076E63" w:rsidRPr="00076E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 xml:space="preserve"> на вариант за действие: регистри, бази да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bg-BG"/>
              </w:rPr>
              <w:t>нни, аналитични материали и др.</w:t>
            </w:r>
          </w:p>
        </w:tc>
      </w:tr>
      <w:tr w:rsidR="00076E63" w:rsidRPr="003B24AC" w:rsidTr="00C93DF1">
        <w:tc>
          <w:tcPr>
            <w:tcW w:w="10266" w:type="dxa"/>
            <w:gridSpan w:val="3"/>
          </w:tcPr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12. Име, длъжност, дата и подпис на директора на дирекцията, отговорна за извършването на частичната предварителна оценка на въздействието:</w:t>
            </w:r>
          </w:p>
          <w:p w:rsidR="00076E63" w:rsidRPr="00076E63" w:rsidRDefault="00076E63" w:rsidP="0007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Име и длъжност:   </w:t>
            </w:r>
            <w:r w:rsidR="002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Николай Налбантов</w:t>
            </w:r>
            <w:r w:rsidR="0032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="003045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71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</w:t>
            </w:r>
            <w:r w:rsidR="0032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иректор на дирекция „Енергийни стратегии и политики за устойчиво енергийно развитие“</w:t>
            </w:r>
          </w:p>
          <w:p w:rsidR="00076E63" w:rsidRPr="00076E63" w:rsidRDefault="002F0EF1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Дата:  </w:t>
            </w:r>
          </w:p>
          <w:p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7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Подпис:</w:t>
            </w:r>
            <w:r w:rsidRPr="00076E6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</w:t>
            </w:r>
            <w:r w:rsidR="006307EC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pict w14:anchorId="4FA25557">
                <v:shape id="_x0000_i1043" type="#_x0000_t75" alt="Microsoft Office Signature Line..." style="width:192.4pt;height:95.6pt">
                  <v:imagedata r:id="rId22" o:title=""/>
                  <o:lock v:ext="edit" ungrouping="t" rotation="t" cropping="t" verticies="t" text="t" grouping="t"/>
                  <o:signatureline v:ext="edit" id="{CD196F20-6C9C-42EF-ABB9-DC05E629A06C}" provid="{00000000-0000-0000-0000-000000000000}" o:suggestedsigner2="Директор д-я ЕСПУЕР" issignatureline="t"/>
                </v:shape>
              </w:pict>
            </w:r>
          </w:p>
          <w:p w:rsidR="00076E63" w:rsidRPr="00076E63" w:rsidRDefault="00076E63" w:rsidP="00076E6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E16D01" w:rsidRDefault="00E16D01" w:rsidP="00076E6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EFEFE"/>
          <w:lang w:val="bg-BG"/>
        </w:rPr>
      </w:pPr>
    </w:p>
    <w:sectPr w:rsidR="00E16D01" w:rsidSect="00DC563F">
      <w:headerReference w:type="even" r:id="rId23"/>
      <w:footerReference w:type="default" r:id="rId24"/>
      <w:pgSz w:w="11906" w:h="16838" w:code="9"/>
      <w:pgMar w:top="851" w:right="1463" w:bottom="1135" w:left="1134" w:header="10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16" w:rsidRDefault="00CB1216">
      <w:pPr>
        <w:spacing w:after="0" w:line="240" w:lineRule="auto"/>
      </w:pPr>
      <w:r>
        <w:separator/>
      </w:r>
    </w:p>
  </w:endnote>
  <w:endnote w:type="continuationSeparator" w:id="0">
    <w:p w:rsidR="00CB1216" w:rsidRDefault="00CB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0" w:rsidRPr="003E3642" w:rsidRDefault="001D23B0">
    <w:pPr>
      <w:pStyle w:val="Footer"/>
      <w:jc w:val="right"/>
      <w:rPr>
        <w:rFonts w:ascii="Times New Roman" w:hAnsi="Times New Roman"/>
      </w:rPr>
    </w:pPr>
    <w:r w:rsidRPr="003E3642">
      <w:rPr>
        <w:rFonts w:ascii="Times New Roman" w:hAnsi="Times New Roman"/>
      </w:rPr>
      <w:fldChar w:fldCharType="begin"/>
    </w:r>
    <w:r w:rsidRPr="003E3642">
      <w:rPr>
        <w:rFonts w:ascii="Times New Roman" w:hAnsi="Times New Roman"/>
      </w:rPr>
      <w:instrText xml:space="preserve"> PAGE   \* MERGEFORMAT </w:instrText>
    </w:r>
    <w:r w:rsidRPr="003E3642">
      <w:rPr>
        <w:rFonts w:ascii="Times New Roman" w:hAnsi="Times New Roman"/>
      </w:rPr>
      <w:fldChar w:fldCharType="separate"/>
    </w:r>
    <w:r w:rsidR="006307EC">
      <w:rPr>
        <w:rFonts w:ascii="Times New Roman" w:hAnsi="Times New Roman"/>
        <w:noProof/>
      </w:rPr>
      <w:t>12</w:t>
    </w:r>
    <w:r w:rsidRPr="003E3642">
      <w:rPr>
        <w:rFonts w:ascii="Times New Roman" w:hAnsi="Times New Roman"/>
        <w:noProof/>
      </w:rPr>
      <w:fldChar w:fldCharType="end"/>
    </w:r>
  </w:p>
  <w:p w:rsidR="001D23B0" w:rsidRDefault="001D2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16" w:rsidRDefault="00CB1216">
      <w:pPr>
        <w:spacing w:after="0" w:line="240" w:lineRule="auto"/>
      </w:pPr>
      <w:r>
        <w:separator/>
      </w:r>
    </w:p>
  </w:footnote>
  <w:footnote w:type="continuationSeparator" w:id="0">
    <w:p w:rsidR="00CB1216" w:rsidRDefault="00CB1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3B0" w:rsidRDefault="001D23B0" w:rsidP="00076E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1D23B0" w:rsidRDefault="001D2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E07"/>
    <w:multiLevelType w:val="multilevel"/>
    <w:tmpl w:val="8C9A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5255A6"/>
    <w:multiLevelType w:val="multilevel"/>
    <w:tmpl w:val="312C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F55B6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" w15:restartNumberingAfterBreak="0">
    <w:nsid w:val="26CC1230"/>
    <w:multiLevelType w:val="multilevel"/>
    <w:tmpl w:val="FDF0A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4" w15:restartNumberingAfterBreak="0">
    <w:nsid w:val="32593D72"/>
    <w:multiLevelType w:val="multilevel"/>
    <w:tmpl w:val="EBD6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133F2"/>
    <w:multiLevelType w:val="hybridMultilevel"/>
    <w:tmpl w:val="B7D6389C"/>
    <w:lvl w:ilvl="0" w:tplc="AA4E18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B0BB6"/>
    <w:multiLevelType w:val="multilevel"/>
    <w:tmpl w:val="E0383F32"/>
    <w:lvl w:ilvl="0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0" w:hanging="1800"/>
      </w:pPr>
      <w:rPr>
        <w:rFonts w:hint="default"/>
      </w:rPr>
    </w:lvl>
  </w:abstractNum>
  <w:abstractNum w:abstractNumId="7" w15:restartNumberingAfterBreak="0">
    <w:nsid w:val="3EF03551"/>
    <w:multiLevelType w:val="multilevel"/>
    <w:tmpl w:val="3D9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37E08"/>
    <w:multiLevelType w:val="multilevel"/>
    <w:tmpl w:val="9FB2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B33A2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0" w15:restartNumberingAfterBreak="0">
    <w:nsid w:val="46E33A28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1" w15:restartNumberingAfterBreak="0">
    <w:nsid w:val="47501C78"/>
    <w:multiLevelType w:val="multilevel"/>
    <w:tmpl w:val="9B26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911DD"/>
    <w:multiLevelType w:val="multilevel"/>
    <w:tmpl w:val="FCE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4C7BE9"/>
    <w:multiLevelType w:val="hybridMultilevel"/>
    <w:tmpl w:val="6900B366"/>
    <w:lvl w:ilvl="0" w:tplc="F1D044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B0557"/>
    <w:multiLevelType w:val="multilevel"/>
    <w:tmpl w:val="35D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E13989"/>
    <w:multiLevelType w:val="hybridMultilevel"/>
    <w:tmpl w:val="D754711A"/>
    <w:lvl w:ilvl="0" w:tplc="2BB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4C39"/>
    <w:multiLevelType w:val="multilevel"/>
    <w:tmpl w:val="C26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77E78"/>
    <w:multiLevelType w:val="multilevel"/>
    <w:tmpl w:val="323A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77769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19" w15:restartNumberingAfterBreak="0">
    <w:nsid w:val="75435F9B"/>
    <w:multiLevelType w:val="multilevel"/>
    <w:tmpl w:val="2F2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624ED"/>
    <w:multiLevelType w:val="hybridMultilevel"/>
    <w:tmpl w:val="185A7584"/>
    <w:lvl w:ilvl="0" w:tplc="1FBCF55A">
      <w:start w:val="1"/>
      <w:numFmt w:val="decimal"/>
      <w:lvlText w:val="%1."/>
      <w:lvlJc w:val="left"/>
      <w:pPr>
        <w:ind w:left="19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6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8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5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2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90" w:hanging="180"/>
      </w:pPr>
      <w:rPr>
        <w:rFonts w:cs="Times New Roman"/>
      </w:rPr>
    </w:lvl>
  </w:abstractNum>
  <w:abstractNum w:abstractNumId="21" w15:restartNumberingAfterBreak="0">
    <w:nsid w:val="7D767568"/>
    <w:multiLevelType w:val="multilevel"/>
    <w:tmpl w:val="C7AE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1825B5"/>
    <w:multiLevelType w:val="multilevel"/>
    <w:tmpl w:val="963C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8B46C0"/>
    <w:multiLevelType w:val="multilevel"/>
    <w:tmpl w:val="0F3E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13"/>
  </w:num>
  <w:num w:numId="9">
    <w:abstractNumId w:val="5"/>
  </w:num>
  <w:num w:numId="10">
    <w:abstractNumId w:val="15"/>
  </w:num>
  <w:num w:numId="11">
    <w:abstractNumId w:val="19"/>
  </w:num>
  <w:num w:numId="12">
    <w:abstractNumId w:val="17"/>
  </w:num>
  <w:num w:numId="13">
    <w:abstractNumId w:val="16"/>
  </w:num>
  <w:num w:numId="14">
    <w:abstractNumId w:val="21"/>
  </w:num>
  <w:num w:numId="15">
    <w:abstractNumId w:val="7"/>
  </w:num>
  <w:num w:numId="16">
    <w:abstractNumId w:val="23"/>
  </w:num>
  <w:num w:numId="17">
    <w:abstractNumId w:val="4"/>
  </w:num>
  <w:num w:numId="18">
    <w:abstractNumId w:val="1"/>
  </w:num>
  <w:num w:numId="19">
    <w:abstractNumId w:val="0"/>
  </w:num>
  <w:num w:numId="20">
    <w:abstractNumId w:val="8"/>
  </w:num>
  <w:num w:numId="21">
    <w:abstractNumId w:val="22"/>
  </w:num>
  <w:num w:numId="22">
    <w:abstractNumId w:val="1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84"/>
    <w:rsid w:val="00002C2B"/>
    <w:rsid w:val="00004B97"/>
    <w:rsid w:val="00015CD1"/>
    <w:rsid w:val="00022E68"/>
    <w:rsid w:val="00024A42"/>
    <w:rsid w:val="00041C5B"/>
    <w:rsid w:val="00042D08"/>
    <w:rsid w:val="000506A6"/>
    <w:rsid w:val="00054619"/>
    <w:rsid w:val="00063707"/>
    <w:rsid w:val="00064387"/>
    <w:rsid w:val="00064CC7"/>
    <w:rsid w:val="00076E63"/>
    <w:rsid w:val="000A1BC7"/>
    <w:rsid w:val="000A2E06"/>
    <w:rsid w:val="000B54BE"/>
    <w:rsid w:val="000C1DAD"/>
    <w:rsid w:val="000F5DB5"/>
    <w:rsid w:val="00106245"/>
    <w:rsid w:val="001117E0"/>
    <w:rsid w:val="001138D1"/>
    <w:rsid w:val="0013497B"/>
    <w:rsid w:val="001533CC"/>
    <w:rsid w:val="00153946"/>
    <w:rsid w:val="001640D2"/>
    <w:rsid w:val="00192904"/>
    <w:rsid w:val="001C0B46"/>
    <w:rsid w:val="001D23B0"/>
    <w:rsid w:val="001E1CF2"/>
    <w:rsid w:val="001E44FB"/>
    <w:rsid w:val="001E45E6"/>
    <w:rsid w:val="001F392A"/>
    <w:rsid w:val="00216911"/>
    <w:rsid w:val="00217007"/>
    <w:rsid w:val="00223830"/>
    <w:rsid w:val="00250F2E"/>
    <w:rsid w:val="002713FE"/>
    <w:rsid w:val="00274F01"/>
    <w:rsid w:val="00275A51"/>
    <w:rsid w:val="00291E82"/>
    <w:rsid w:val="002C78DC"/>
    <w:rsid w:val="002C7F61"/>
    <w:rsid w:val="002C7FC3"/>
    <w:rsid w:val="002E1829"/>
    <w:rsid w:val="002F0EF1"/>
    <w:rsid w:val="003045F0"/>
    <w:rsid w:val="00321B07"/>
    <w:rsid w:val="0034619C"/>
    <w:rsid w:val="00347FA3"/>
    <w:rsid w:val="0036013C"/>
    <w:rsid w:val="003669F8"/>
    <w:rsid w:val="003679E4"/>
    <w:rsid w:val="003A5C46"/>
    <w:rsid w:val="003B24AC"/>
    <w:rsid w:val="003C0CDA"/>
    <w:rsid w:val="003C124D"/>
    <w:rsid w:val="003C5FAD"/>
    <w:rsid w:val="003D577E"/>
    <w:rsid w:val="003E3C40"/>
    <w:rsid w:val="00402577"/>
    <w:rsid w:val="0041252C"/>
    <w:rsid w:val="00440E8E"/>
    <w:rsid w:val="004417F5"/>
    <w:rsid w:val="00452616"/>
    <w:rsid w:val="00486915"/>
    <w:rsid w:val="00486DC8"/>
    <w:rsid w:val="0049667A"/>
    <w:rsid w:val="004A5578"/>
    <w:rsid w:val="004C3F3F"/>
    <w:rsid w:val="004D53B5"/>
    <w:rsid w:val="004D7A93"/>
    <w:rsid w:val="004E4FD6"/>
    <w:rsid w:val="004E7113"/>
    <w:rsid w:val="004F1C8E"/>
    <w:rsid w:val="004F7F13"/>
    <w:rsid w:val="00503476"/>
    <w:rsid w:val="00503482"/>
    <w:rsid w:val="00507DDB"/>
    <w:rsid w:val="00512211"/>
    <w:rsid w:val="005305F7"/>
    <w:rsid w:val="00531F82"/>
    <w:rsid w:val="0054017E"/>
    <w:rsid w:val="00542822"/>
    <w:rsid w:val="00545DF0"/>
    <w:rsid w:val="00547ECD"/>
    <w:rsid w:val="00554AFF"/>
    <w:rsid w:val="00587688"/>
    <w:rsid w:val="00597F42"/>
    <w:rsid w:val="005A28E0"/>
    <w:rsid w:val="005A4E91"/>
    <w:rsid w:val="005C68B4"/>
    <w:rsid w:val="005E64B4"/>
    <w:rsid w:val="0060089B"/>
    <w:rsid w:val="006030A7"/>
    <w:rsid w:val="00603398"/>
    <w:rsid w:val="0061026E"/>
    <w:rsid w:val="00614DAF"/>
    <w:rsid w:val="006307EC"/>
    <w:rsid w:val="006317C6"/>
    <w:rsid w:val="00635C7F"/>
    <w:rsid w:val="00636928"/>
    <w:rsid w:val="0064001E"/>
    <w:rsid w:val="006613DF"/>
    <w:rsid w:val="00696499"/>
    <w:rsid w:val="006C5776"/>
    <w:rsid w:val="006D7984"/>
    <w:rsid w:val="007108A0"/>
    <w:rsid w:val="00722C31"/>
    <w:rsid w:val="00725BA4"/>
    <w:rsid w:val="007329A7"/>
    <w:rsid w:val="00761B9F"/>
    <w:rsid w:val="00762565"/>
    <w:rsid w:val="0078311F"/>
    <w:rsid w:val="007B0FB9"/>
    <w:rsid w:val="007C77B4"/>
    <w:rsid w:val="007D127E"/>
    <w:rsid w:val="007E02F1"/>
    <w:rsid w:val="007F2C4E"/>
    <w:rsid w:val="00832FA7"/>
    <w:rsid w:val="00833223"/>
    <w:rsid w:val="008A3558"/>
    <w:rsid w:val="008A6586"/>
    <w:rsid w:val="008B7F09"/>
    <w:rsid w:val="008F57BA"/>
    <w:rsid w:val="00913199"/>
    <w:rsid w:val="00913418"/>
    <w:rsid w:val="0092218F"/>
    <w:rsid w:val="00926207"/>
    <w:rsid w:val="009361FC"/>
    <w:rsid w:val="00952F96"/>
    <w:rsid w:val="009546F1"/>
    <w:rsid w:val="0096400A"/>
    <w:rsid w:val="00973D75"/>
    <w:rsid w:val="009B13A5"/>
    <w:rsid w:val="009D4DA5"/>
    <w:rsid w:val="009E1397"/>
    <w:rsid w:val="00A01498"/>
    <w:rsid w:val="00A02FA6"/>
    <w:rsid w:val="00A05481"/>
    <w:rsid w:val="00A5310A"/>
    <w:rsid w:val="00A93A35"/>
    <w:rsid w:val="00AA2F83"/>
    <w:rsid w:val="00AC7F94"/>
    <w:rsid w:val="00B0241F"/>
    <w:rsid w:val="00B05AC4"/>
    <w:rsid w:val="00B132C1"/>
    <w:rsid w:val="00B16DF0"/>
    <w:rsid w:val="00B27B14"/>
    <w:rsid w:val="00B35B35"/>
    <w:rsid w:val="00B45391"/>
    <w:rsid w:val="00B63186"/>
    <w:rsid w:val="00B66FF9"/>
    <w:rsid w:val="00B722F7"/>
    <w:rsid w:val="00BC47CD"/>
    <w:rsid w:val="00BE1B22"/>
    <w:rsid w:val="00C02F30"/>
    <w:rsid w:val="00C22FEA"/>
    <w:rsid w:val="00C40BCF"/>
    <w:rsid w:val="00C91AA4"/>
    <w:rsid w:val="00C93DF1"/>
    <w:rsid w:val="00CB1216"/>
    <w:rsid w:val="00CB3562"/>
    <w:rsid w:val="00CB3CCE"/>
    <w:rsid w:val="00CC3AB0"/>
    <w:rsid w:val="00CC7367"/>
    <w:rsid w:val="00CE02C9"/>
    <w:rsid w:val="00CE2D4A"/>
    <w:rsid w:val="00D05C9E"/>
    <w:rsid w:val="00D454AB"/>
    <w:rsid w:val="00D52B91"/>
    <w:rsid w:val="00D74BED"/>
    <w:rsid w:val="00D761B8"/>
    <w:rsid w:val="00D76EDC"/>
    <w:rsid w:val="00D82CFD"/>
    <w:rsid w:val="00D877BE"/>
    <w:rsid w:val="00D94F92"/>
    <w:rsid w:val="00DA2CA6"/>
    <w:rsid w:val="00DB5149"/>
    <w:rsid w:val="00DC563F"/>
    <w:rsid w:val="00DC6684"/>
    <w:rsid w:val="00DD7B12"/>
    <w:rsid w:val="00E07F8E"/>
    <w:rsid w:val="00E16D01"/>
    <w:rsid w:val="00E21CF4"/>
    <w:rsid w:val="00E31BE5"/>
    <w:rsid w:val="00E44DE0"/>
    <w:rsid w:val="00E54923"/>
    <w:rsid w:val="00E653D3"/>
    <w:rsid w:val="00E65509"/>
    <w:rsid w:val="00E80B14"/>
    <w:rsid w:val="00E93340"/>
    <w:rsid w:val="00E9592A"/>
    <w:rsid w:val="00EB5464"/>
    <w:rsid w:val="00EB7DBD"/>
    <w:rsid w:val="00EC2321"/>
    <w:rsid w:val="00ED3460"/>
    <w:rsid w:val="00ED3DE3"/>
    <w:rsid w:val="00F038CA"/>
    <w:rsid w:val="00F04B4E"/>
    <w:rsid w:val="00F113B2"/>
    <w:rsid w:val="00F160D0"/>
    <w:rsid w:val="00F16E3F"/>
    <w:rsid w:val="00F334E6"/>
    <w:rsid w:val="00F3509F"/>
    <w:rsid w:val="00F51681"/>
    <w:rsid w:val="00F51D50"/>
    <w:rsid w:val="00F82B9D"/>
    <w:rsid w:val="00F8508C"/>
    <w:rsid w:val="00F87F7B"/>
    <w:rsid w:val="00F92CAD"/>
    <w:rsid w:val="00F9466E"/>
    <w:rsid w:val="00F97AFA"/>
    <w:rsid w:val="00FC4097"/>
    <w:rsid w:val="00FD3F51"/>
    <w:rsid w:val="00FD7B23"/>
    <w:rsid w:val="00FE540A"/>
    <w:rsid w:val="00FE55C5"/>
    <w:rsid w:val="00FF12B8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DD42D30-DE5B-48BD-BB83-998E1F50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E63"/>
  </w:style>
  <w:style w:type="paragraph" w:styleId="Footer">
    <w:name w:val="footer"/>
    <w:basedOn w:val="Normal"/>
    <w:link w:val="FooterChar"/>
    <w:uiPriority w:val="99"/>
    <w:unhideWhenUsed/>
    <w:rsid w:val="00076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E63"/>
  </w:style>
  <w:style w:type="character" w:styleId="PageNumber">
    <w:name w:val="page number"/>
    <w:basedOn w:val="DefaultParagraphFont"/>
    <w:rsid w:val="00076E6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E6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E6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E63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4B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4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6F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4DA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0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FA6"/>
    <w:rPr>
      <w:b/>
      <w:bCs/>
    </w:rPr>
  </w:style>
  <w:style w:type="character" w:styleId="Emphasis">
    <w:name w:val="Emphasis"/>
    <w:basedOn w:val="DefaultParagraphFont"/>
    <w:uiPriority w:val="20"/>
    <w:qFormat/>
    <w:rsid w:val="00A02FA6"/>
    <w:rPr>
      <w:i/>
      <w:iCs/>
    </w:rPr>
  </w:style>
  <w:style w:type="paragraph" w:styleId="Revision">
    <w:name w:val="Revision"/>
    <w:hidden/>
    <w:uiPriority w:val="99"/>
    <w:semiHidden/>
    <w:rsid w:val="00250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control" Target="activeX/activeX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w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control" Target="activeX/activeX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image" Target="media/image9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1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1EF59ED0FA34C99918F9754AB776F" ma:contentTypeVersion="1" ma:contentTypeDescription="Create a new document." ma:contentTypeScope="" ma:versionID="10f585264377284134c60f54a37bc45d">
  <xsd:schema xmlns:xsd="http://www.w3.org/2001/XMLSchema" xmlns:xs="http://www.w3.org/2001/XMLSchema" xmlns:p="http://schemas.microsoft.com/office/2006/metadata/properties" xmlns:ns2="ab7d7822-3d8d-4b75-8442-a3be0498d546" targetNamespace="http://schemas.microsoft.com/office/2006/metadata/properties" ma:root="true" ma:fieldsID="b3316178500bfaad7ff79ac31658f4fe" ns2:_="">
    <xsd:import namespace="ab7d7822-3d8d-4b75-8442-a3be0498d546"/>
    <xsd:element name="properties">
      <xsd:complexType>
        <xsd:sequence>
          <xsd:element name="documentManagement">
            <xsd:complexType>
              <xsd:all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d7822-3d8d-4b75-8442-a3be0498d546" elementFormDefault="qualified">
    <xsd:import namespace="http://schemas.microsoft.com/office/2006/documentManagement/types"/>
    <xsd:import namespace="http://schemas.microsoft.com/office/infopath/2007/PartnerControls"/>
    <xsd:element name="Archive" ma:index="8" nillable="true" ma:displayName="Archive" ma:default="0" ma:description="Архив или Отменен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ab7d7822-3d8d-4b75-8442-a3be0498d546">false</Archive>
  </documentManagement>
</p:properties>
</file>

<file path=customXml/itemProps1.xml><?xml version="1.0" encoding="utf-8"?>
<ds:datastoreItem xmlns:ds="http://schemas.openxmlformats.org/officeDocument/2006/customXml" ds:itemID="{0B7B8132-9EBB-4577-8713-9180D61FA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BF2F1-0B56-4F76-9CE1-2FC3CA52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d7822-3d8d-4b75-8442-a3be0498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211E4-8107-48C4-95EE-84BCEE7B829F}">
  <ds:schemaRefs>
    <ds:schemaRef ds:uri="http://schemas.microsoft.com/office/2006/documentManagement/types"/>
    <ds:schemaRef ds:uri="http://purl.org/dc/elements/1.1/"/>
    <ds:schemaRef ds:uri="http://purl.org/dc/terms/"/>
    <ds:schemaRef ds:uri="ab7d7822-3d8d-4b75-8442-a3be0498d546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4851</Words>
  <Characters>27656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частична предварителна оценка на въздействието</vt:lpstr>
    </vt:vector>
  </TitlesOfParts>
  <Company/>
  <LinksUpToDate>false</LinksUpToDate>
  <CharactersWithSpaces>32443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частична предварителна оценка на въздействието</dc:title>
  <dc:subject/>
  <dc:creator>Administrator</dc:creator>
  <cp:keywords/>
  <dc:description/>
  <cp:lastModifiedBy>Кристиан Ставрев</cp:lastModifiedBy>
  <cp:revision>2</cp:revision>
  <cp:lastPrinted>2025-06-19T08:51:00Z</cp:lastPrinted>
  <dcterms:created xsi:type="dcterms:W3CDTF">2026-04-27T08:30:00Z</dcterms:created>
  <dcterms:modified xsi:type="dcterms:W3CDTF">2026-04-27T08:30:00Z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0x0101002C51EF59ED0FA34C99918F9754AB776F</vt:lpwstr>
  </property>
</Properties>
</file>